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3"/>
        <w:spacing w:before="280" w:after="280"/>
        <w:rPr/>
      </w:pPr>
      <w:r>
        <w:rPr/>
        <w:t>Global reconstructed water use data for 1971-2010: Version 1</w:t>
      </w:r>
    </w:p>
    <w:p>
      <w:pPr>
        <w:pStyle w:val="Heading3"/>
        <w:rPr/>
      </w:pPr>
      <w:r>
        <w:rPr/>
      </w:r>
    </w:p>
    <w:p>
      <w:pPr>
        <w:pStyle w:val="Normal"/>
        <w:jc w:val="both"/>
        <w:rPr>
          <w:rFonts w:ascii="Times New Roman" w:hAnsi="Times New Roman" w:cs="Times New Roman"/>
          <w:sz w:val="24"/>
          <w:szCs w:val="24"/>
        </w:rPr>
      </w:pPr>
      <w:r>
        <w:rPr>
          <w:rFonts w:cs="Times New Roman" w:ascii="Times New Roman" w:hAnsi="Times New Roman"/>
          <w:sz w:val="24"/>
          <w:szCs w:val="24"/>
        </w:rPr>
        <w:t>About:</w:t>
      </w:r>
    </w:p>
    <w:p>
      <w:pPr>
        <w:pStyle w:val="Normal"/>
        <w:jc w:val="both"/>
        <w:rPr/>
      </w:pPr>
      <w:r>
        <w:rPr>
          <w:rFonts w:cs="Times New Roman" w:ascii="Times New Roman" w:hAnsi="Times New Roman"/>
          <w:sz w:val="24"/>
          <w:szCs w:val="24"/>
        </w:rPr>
        <w:t xml:space="preserve">The dataset constitutes the first reconstructed global water use data product at sub-annual and sub-national/gridded resolution that is derived from different models and data sources; it was generated by spatially and temporally downscaling country-scale estimates of sectoral water withdrawals from FAO AQUASTAT (and state-scale estimates of USGS for the US). In addition, the industrial sector was disaggregated into manufacturing, mining and cooling of thermal power plants by using historical estimates from GCAM. Downscaling was performed using the output of various models and new modeling approaches, which includes the spatial and temporal downscaling methodologies for water withdrawal in previous studies </w:t>
      </w:r>
      <w:r>
        <w:fldChar w:fldCharType="begin"/>
      </w:r>
      <w:r>
        <w:instrText>ADDIN EN.CITE</w:instrText>
      </w:r>
      <w:r>
        <w:fldChar w:fldCharType="separate"/>
      </w:r>
      <w:bookmarkStart w:id="0" w:name="__Fieldmark__148_400275998"/>
      <w:r>
        <w:rPr>
          <w:rFonts w:cs="Times New Roman" w:ascii="Times New Roman" w:hAnsi="Times New Roman"/>
          <w:sz w:val="24"/>
          <w:szCs w:val="24"/>
        </w:rPr>
      </w:r>
      <w:r>
        <w:rPr>
          <w:rFonts w:cs="Times New Roman" w:ascii="Times New Roman" w:hAnsi="Times New Roman"/>
          <w:sz w:val="24"/>
          <w:szCs w:val="24"/>
        </w:rPr>
      </w:r>
      <w:r>
        <w:fldChar w:fldCharType="end"/>
      </w:r>
      <w:r>
        <w:fldChar w:fldCharType="begin"/>
      </w:r>
      <w:r>
        <w:instrText>ADDIN EN.CITE.DATA</w:instrText>
      </w:r>
      <w:r>
        <w:fldChar w:fldCharType="separate"/>
      </w:r>
      <w:bookmarkStart w:id="1" w:name="__Fieldmark__147_400275998"/>
      <w:bookmarkEnd w:id="0"/>
      <w:r>
        <w:rPr>
          <w:rFonts w:cs="Times New Roman" w:ascii="Times New Roman" w:hAnsi="Times New Roman"/>
          <w:sz w:val="24"/>
          <w:szCs w:val="24"/>
        </w:rPr>
        <w:t>(Wada et al., 2011; Voisin et al., 2013; Hejazi et al., 2014)</w:t>
      </w:r>
      <w:r>
        <w:rPr>
          <w:rFonts w:cs="Times New Roman" w:ascii="Times New Roman" w:hAnsi="Times New Roman"/>
          <w:sz w:val="24"/>
          <w:szCs w:val="24"/>
        </w:rPr>
      </w:r>
      <w:r>
        <w:fldChar w:fldCharType="end"/>
      </w:r>
      <w:bookmarkEnd w:id="1"/>
      <w:r>
        <w:rPr>
          <w:rFonts w:cs="Times New Roman" w:ascii="Times New Roman" w:hAnsi="Times New Roman"/>
          <w:sz w:val="24"/>
          <w:szCs w:val="24"/>
        </w:rPr>
        <w:t>. For the consumptive water use, irrigation water consumption is reconstructed based on estimates by 4 GHMs and consumptive water use efficiency (the proportion of water consumption to water withdrawal), which is calculated based on simulation of Flörke et al (2013) and USGS estimates, is used to generated global consumptive water use for the remaining sector. Therefore, a global monthly gridded (0.5 degree) sectoral water use dataset for the period 1971–2010, which distinguishes six water use sectors, i.e. irrigation, domestic, electricity generation (cooling of thermal power plants), livestock, mining, and manufacturing, was reconstructed. The detailed descriptions for this dataset are presented in Huang et al. (in review).</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sz w:val="24"/>
          <w:szCs w:val="24"/>
        </w:rPr>
      </w:pPr>
      <w:r>
        <w:rPr>
          <w:sz w:val="24"/>
          <w:szCs w:val="24"/>
        </w:rPr>
        <w:t>Content:</w:t>
      </w:r>
    </w:p>
    <w:p>
      <w:pPr>
        <w:pStyle w:val="Normal"/>
        <w:jc w:val="both"/>
        <w:rPr>
          <w:rFonts w:ascii="Times New Roman" w:hAnsi="Times New Roman" w:cs="Times New Roman"/>
          <w:sz w:val="24"/>
          <w:szCs w:val="24"/>
        </w:rPr>
      </w:pPr>
      <w:r>
        <w:rPr>
          <w:rFonts w:cs="Times New Roman" w:ascii="Times New Roman" w:hAnsi="Times New Roman"/>
          <w:sz w:val="24"/>
          <w:szCs w:val="24"/>
        </w:rPr>
        <w:t>This dataset includes the global monthly gridded (0.5 degree) water use dataset in the period 1971–2010 for irrigation, domestic, electricity generation (cooling of thermal power plants), livestock, mining, and manufacturing. For irrigation sector, 4 different datasets were generated based on estimates from 4 different Global Hydrological Models (GHMs), i.e. WaterGAP, LPJmL, H08, and PCR-GLOBWB. 6 files are included:</w:t>
      </w:r>
    </w:p>
    <w:p>
      <w:pPr>
        <w:pStyle w:val="ListParagraph"/>
        <w:numPr>
          <w:ilvl w:val="0"/>
          <w:numId w:val="1"/>
        </w:numPr>
        <w:jc w:val="both"/>
        <w:rPr>
          <w:rFonts w:ascii="Times New Roman" w:hAnsi="Times New Roman" w:cs="Times New Roman"/>
          <w:sz w:val="24"/>
          <w:szCs w:val="24"/>
        </w:rPr>
      </w:pPr>
      <w:r>
        <w:rPr>
          <w:rFonts w:cs="Times New Roman" w:ascii="Times New Roman" w:hAnsi="Times New Roman"/>
          <w:sz w:val="24"/>
          <w:szCs w:val="24"/>
        </w:rPr>
        <w:t>domestic water use.7z:</w:t>
      </w:r>
    </w:p>
    <w:p>
      <w:pPr>
        <w:pStyle w:val="Normal"/>
        <w:jc w:val="both"/>
        <w:rPr>
          <w:rFonts w:ascii="Times New Roman" w:hAnsi="Times New Roman" w:cs="Times New Roman"/>
          <w:sz w:val="24"/>
          <w:szCs w:val="24"/>
        </w:rPr>
      </w:pPr>
      <w:r>
        <w:rPr>
          <w:rFonts w:cs="Times New Roman" w:ascii="Times New Roman" w:hAnsi="Times New Roman"/>
          <w:sz w:val="24"/>
          <w:szCs w:val="24"/>
        </w:rPr>
        <w:t>withd_dom.nc: reconstructed global gridded monthly domestic water withdrawal;</w:t>
      </w:r>
    </w:p>
    <w:p>
      <w:pPr>
        <w:pStyle w:val="Normal"/>
        <w:jc w:val="both"/>
        <w:rPr>
          <w:rFonts w:ascii="Times New Roman" w:hAnsi="Times New Roman" w:cs="Times New Roman"/>
          <w:sz w:val="24"/>
          <w:szCs w:val="24"/>
        </w:rPr>
      </w:pPr>
      <w:r>
        <w:rPr>
          <w:rFonts w:cs="Times New Roman" w:ascii="Times New Roman" w:hAnsi="Times New Roman"/>
          <w:sz w:val="24"/>
          <w:szCs w:val="24"/>
        </w:rPr>
        <w:t>cons_dom.nc: reconstructed global gridded monthly domestic water consumption;</w:t>
      </w:r>
    </w:p>
    <w:p>
      <w:pPr>
        <w:pStyle w:val="ListParagraph"/>
        <w:numPr>
          <w:ilvl w:val="0"/>
          <w:numId w:val="1"/>
        </w:numPr>
        <w:jc w:val="both"/>
        <w:rPr>
          <w:rFonts w:ascii="Times New Roman" w:hAnsi="Times New Roman" w:cs="Times New Roman"/>
          <w:sz w:val="24"/>
          <w:szCs w:val="24"/>
        </w:rPr>
      </w:pPr>
      <w:r>
        <w:rPr>
          <w:rFonts w:cs="Times New Roman" w:ascii="Times New Roman" w:hAnsi="Times New Roman"/>
          <w:sz w:val="24"/>
          <w:szCs w:val="24"/>
        </w:rPr>
        <w:t>electricity water use.7z</w:t>
      </w:r>
    </w:p>
    <w:p>
      <w:pPr>
        <w:pStyle w:val="Normal"/>
        <w:jc w:val="both"/>
        <w:rPr>
          <w:rFonts w:ascii="Times New Roman" w:hAnsi="Times New Roman" w:cs="Times New Roman"/>
          <w:sz w:val="24"/>
          <w:szCs w:val="24"/>
        </w:rPr>
      </w:pPr>
      <w:r>
        <w:rPr>
          <w:rFonts w:cs="Times New Roman" w:ascii="Times New Roman" w:hAnsi="Times New Roman"/>
          <w:sz w:val="24"/>
          <w:szCs w:val="24"/>
        </w:rPr>
        <w:t>withd_elec.nc: reconstructed global gridded monthly water withdrawal for electricity generation;</w:t>
      </w:r>
    </w:p>
    <w:p>
      <w:pPr>
        <w:pStyle w:val="Normal"/>
        <w:jc w:val="both"/>
        <w:rPr>
          <w:rFonts w:ascii="Times New Roman" w:hAnsi="Times New Roman" w:cs="Times New Roman"/>
          <w:sz w:val="24"/>
          <w:szCs w:val="24"/>
        </w:rPr>
      </w:pPr>
      <w:r>
        <w:rPr>
          <w:rFonts w:cs="Times New Roman" w:ascii="Times New Roman" w:hAnsi="Times New Roman"/>
          <w:sz w:val="24"/>
          <w:szCs w:val="24"/>
        </w:rPr>
        <w:t>cons_elec.nc: reconstructed global gridded monthly water consumption for electricity generation;</w:t>
      </w:r>
    </w:p>
    <w:p>
      <w:pPr>
        <w:pStyle w:val="ListParagraph"/>
        <w:numPr>
          <w:ilvl w:val="0"/>
          <w:numId w:val="1"/>
        </w:numPr>
        <w:jc w:val="both"/>
        <w:rPr>
          <w:rFonts w:ascii="Times New Roman" w:hAnsi="Times New Roman" w:cs="Times New Roman"/>
          <w:sz w:val="24"/>
          <w:szCs w:val="24"/>
        </w:rPr>
      </w:pPr>
      <w:r>
        <w:rPr>
          <w:rFonts w:cs="Times New Roman" w:ascii="Times New Roman" w:hAnsi="Times New Roman"/>
          <w:sz w:val="24"/>
          <w:szCs w:val="24"/>
        </w:rPr>
        <w:t>irrigation water use.7z</w:t>
      </w:r>
    </w:p>
    <w:p>
      <w:pPr>
        <w:pStyle w:val="Normal"/>
        <w:jc w:val="both"/>
        <w:rPr>
          <w:rFonts w:ascii="Times New Roman" w:hAnsi="Times New Roman" w:cs="Times New Roman"/>
          <w:sz w:val="24"/>
          <w:szCs w:val="24"/>
        </w:rPr>
      </w:pPr>
      <w:r>
        <w:rPr>
          <w:rFonts w:cs="Times New Roman" w:ascii="Times New Roman" w:hAnsi="Times New Roman"/>
          <w:sz w:val="24"/>
          <w:szCs w:val="24"/>
        </w:rPr>
        <w:t>withd_irr_h08.nc: reconstructed global gridded monthly irrigation water withdrawal based on estimates from H08;</w:t>
      </w:r>
    </w:p>
    <w:p>
      <w:pPr>
        <w:pStyle w:val="Normal"/>
        <w:jc w:val="both"/>
        <w:rPr>
          <w:rFonts w:ascii="Times New Roman" w:hAnsi="Times New Roman" w:cs="Times New Roman"/>
          <w:sz w:val="24"/>
          <w:szCs w:val="24"/>
        </w:rPr>
      </w:pPr>
      <w:r>
        <w:rPr>
          <w:rFonts w:cs="Times New Roman" w:ascii="Times New Roman" w:hAnsi="Times New Roman"/>
          <w:sz w:val="24"/>
          <w:szCs w:val="24"/>
        </w:rPr>
        <w:t>withd_irr_lpjml.nc: reconstructed global gridded monthly irrigation water withdrawal based on estimates from LPJmL;</w:t>
      </w:r>
    </w:p>
    <w:p>
      <w:pPr>
        <w:pStyle w:val="Normal"/>
        <w:jc w:val="both"/>
        <w:rPr>
          <w:rFonts w:ascii="Times New Roman" w:hAnsi="Times New Roman" w:cs="Times New Roman"/>
          <w:sz w:val="24"/>
          <w:szCs w:val="24"/>
        </w:rPr>
      </w:pPr>
      <w:r>
        <w:rPr>
          <w:rFonts w:cs="Times New Roman" w:ascii="Times New Roman" w:hAnsi="Times New Roman"/>
          <w:sz w:val="24"/>
          <w:szCs w:val="24"/>
        </w:rPr>
        <w:t>withd_irr_pcrglobwb.nc: reconstructed global gridded monthly irrigation water withdrawal based on estimates from PCR-GLOBWB;</w:t>
      </w:r>
    </w:p>
    <w:p>
      <w:pPr>
        <w:pStyle w:val="Normal"/>
        <w:jc w:val="both"/>
        <w:rPr>
          <w:rFonts w:ascii="Times New Roman" w:hAnsi="Times New Roman" w:cs="Times New Roman"/>
          <w:sz w:val="24"/>
          <w:szCs w:val="24"/>
        </w:rPr>
      </w:pPr>
      <w:r>
        <w:rPr>
          <w:rFonts w:cs="Times New Roman" w:ascii="Times New Roman" w:hAnsi="Times New Roman"/>
          <w:sz w:val="24"/>
          <w:szCs w:val="24"/>
        </w:rPr>
        <w:t>withd_irr_watergap.nc: reconstructed global gridded monthly irrigation water withdrawal based on estimates from WaterGAP.</w:t>
      </w:r>
    </w:p>
    <w:p>
      <w:pPr>
        <w:pStyle w:val="Normal"/>
        <w:jc w:val="both"/>
        <w:rPr>
          <w:rFonts w:ascii="Times New Roman" w:hAnsi="Times New Roman" w:cs="Times New Roman"/>
          <w:sz w:val="24"/>
          <w:szCs w:val="24"/>
        </w:rPr>
      </w:pPr>
      <w:r>
        <w:rPr>
          <w:rFonts w:cs="Times New Roman" w:ascii="Times New Roman" w:hAnsi="Times New Roman"/>
          <w:sz w:val="24"/>
          <w:szCs w:val="24"/>
        </w:rPr>
        <w:t>cons_irr_h08.nc: reconstructed global gridded monthly irrigation water consumption based on estimates from H08;</w:t>
      </w:r>
    </w:p>
    <w:p>
      <w:pPr>
        <w:pStyle w:val="Normal"/>
        <w:jc w:val="both"/>
        <w:rPr>
          <w:rFonts w:ascii="Times New Roman" w:hAnsi="Times New Roman" w:cs="Times New Roman"/>
          <w:sz w:val="24"/>
          <w:szCs w:val="24"/>
        </w:rPr>
      </w:pPr>
      <w:r>
        <w:rPr>
          <w:rFonts w:cs="Times New Roman" w:ascii="Times New Roman" w:hAnsi="Times New Roman"/>
          <w:sz w:val="24"/>
          <w:szCs w:val="24"/>
        </w:rPr>
        <w:t>cons_irr_lpjml.nc: reconstructed global gridded monthly irrigation water consumption based on estimates from LPJmL;</w:t>
      </w:r>
    </w:p>
    <w:p>
      <w:pPr>
        <w:pStyle w:val="Normal"/>
        <w:jc w:val="both"/>
        <w:rPr>
          <w:rFonts w:ascii="Times New Roman" w:hAnsi="Times New Roman" w:cs="Times New Roman"/>
          <w:sz w:val="24"/>
          <w:szCs w:val="24"/>
        </w:rPr>
      </w:pPr>
      <w:r>
        <w:rPr>
          <w:rFonts w:cs="Times New Roman" w:ascii="Times New Roman" w:hAnsi="Times New Roman"/>
          <w:sz w:val="24"/>
          <w:szCs w:val="24"/>
        </w:rPr>
        <w:t>cons_irr_pcrglobwb.nc: reconstructed global gridded monthly irrigation water consumption based on estimates from PCR-GLOBWB;</w:t>
      </w:r>
    </w:p>
    <w:p>
      <w:pPr>
        <w:pStyle w:val="Normal"/>
        <w:jc w:val="both"/>
        <w:rPr>
          <w:rFonts w:ascii="Times New Roman" w:hAnsi="Times New Roman" w:cs="Times New Roman"/>
          <w:sz w:val="24"/>
          <w:szCs w:val="24"/>
        </w:rPr>
      </w:pPr>
      <w:r>
        <w:rPr>
          <w:rFonts w:cs="Times New Roman" w:ascii="Times New Roman" w:hAnsi="Times New Roman"/>
          <w:sz w:val="24"/>
          <w:szCs w:val="24"/>
        </w:rPr>
        <w:t>cons_irr_watergap.nc: reconstructed global gridded monthly irrigation water consumption based on estimates from WaterGAP.</w:t>
      </w:r>
    </w:p>
    <w:p>
      <w:pPr>
        <w:pStyle w:val="ListParagraph"/>
        <w:numPr>
          <w:ilvl w:val="0"/>
          <w:numId w:val="1"/>
        </w:numPr>
        <w:jc w:val="both"/>
        <w:rPr>
          <w:rFonts w:ascii="Times New Roman" w:hAnsi="Times New Roman" w:cs="Times New Roman"/>
          <w:sz w:val="24"/>
          <w:szCs w:val="24"/>
        </w:rPr>
      </w:pPr>
      <w:r>
        <w:rPr>
          <w:rFonts w:cs="Times New Roman" w:ascii="Times New Roman" w:hAnsi="Times New Roman"/>
          <w:sz w:val="24"/>
          <w:szCs w:val="24"/>
        </w:rPr>
        <w:t>livestock water use.7z</w:t>
      </w:r>
    </w:p>
    <w:p>
      <w:pPr>
        <w:pStyle w:val="Normal"/>
        <w:jc w:val="both"/>
        <w:rPr>
          <w:rFonts w:ascii="Times New Roman" w:hAnsi="Times New Roman" w:cs="Times New Roman"/>
          <w:sz w:val="24"/>
          <w:szCs w:val="24"/>
        </w:rPr>
      </w:pPr>
      <w:r>
        <w:rPr>
          <w:rFonts w:cs="Times New Roman" w:ascii="Times New Roman" w:hAnsi="Times New Roman"/>
          <w:sz w:val="24"/>
          <w:szCs w:val="24"/>
        </w:rPr>
        <w:t>withd_liv.nc: reconstructed global gridded monthly water withdrawal for livestock;</w:t>
      </w:r>
    </w:p>
    <w:p>
      <w:pPr>
        <w:pStyle w:val="Normal"/>
        <w:jc w:val="both"/>
        <w:rPr>
          <w:rFonts w:ascii="Times New Roman" w:hAnsi="Times New Roman" w:cs="Times New Roman"/>
          <w:sz w:val="24"/>
          <w:szCs w:val="24"/>
        </w:rPr>
      </w:pPr>
      <w:r>
        <w:rPr>
          <w:rFonts w:cs="Times New Roman" w:ascii="Times New Roman" w:hAnsi="Times New Roman"/>
          <w:sz w:val="24"/>
          <w:szCs w:val="24"/>
        </w:rPr>
        <w:t>cons_liv.nc: reconstructed global gridded monthly water consumption for livestock;</w:t>
      </w:r>
    </w:p>
    <w:p>
      <w:pPr>
        <w:pStyle w:val="ListParagraph"/>
        <w:numPr>
          <w:ilvl w:val="0"/>
          <w:numId w:val="1"/>
        </w:numPr>
        <w:jc w:val="both"/>
        <w:rPr>
          <w:rFonts w:ascii="Times New Roman" w:hAnsi="Times New Roman" w:cs="Times New Roman"/>
          <w:sz w:val="24"/>
          <w:szCs w:val="24"/>
        </w:rPr>
      </w:pPr>
      <w:r>
        <w:rPr>
          <w:rFonts w:cs="Times New Roman" w:ascii="Times New Roman" w:hAnsi="Times New Roman"/>
          <w:sz w:val="24"/>
          <w:szCs w:val="24"/>
        </w:rPr>
        <w:t>manufacturing water use.7z</w:t>
      </w:r>
    </w:p>
    <w:p>
      <w:pPr>
        <w:pStyle w:val="Normal"/>
        <w:jc w:val="both"/>
        <w:rPr>
          <w:rFonts w:ascii="Times New Roman" w:hAnsi="Times New Roman" w:cs="Times New Roman"/>
          <w:sz w:val="24"/>
          <w:szCs w:val="24"/>
        </w:rPr>
      </w:pPr>
      <w:r>
        <w:rPr>
          <w:rFonts w:cs="Times New Roman" w:ascii="Times New Roman" w:hAnsi="Times New Roman"/>
          <w:sz w:val="24"/>
          <w:szCs w:val="24"/>
        </w:rPr>
        <w:t>withd_mfg.nc: reconstructed global gridded monthly water withdrawal for manufacturing;</w:t>
      </w:r>
    </w:p>
    <w:p>
      <w:pPr>
        <w:pStyle w:val="Normal"/>
        <w:jc w:val="both"/>
        <w:rPr>
          <w:rFonts w:ascii="Times New Roman" w:hAnsi="Times New Roman" w:cs="Times New Roman"/>
          <w:sz w:val="24"/>
          <w:szCs w:val="24"/>
        </w:rPr>
      </w:pPr>
      <w:r>
        <w:rPr>
          <w:rFonts w:cs="Times New Roman" w:ascii="Times New Roman" w:hAnsi="Times New Roman"/>
          <w:sz w:val="24"/>
          <w:szCs w:val="24"/>
        </w:rPr>
        <w:t>cons_mfg.nc: reconstructed global gridded monthly water consumption for manufacturing;</w:t>
      </w:r>
    </w:p>
    <w:p>
      <w:pPr>
        <w:pStyle w:val="ListParagraph"/>
        <w:numPr>
          <w:ilvl w:val="0"/>
          <w:numId w:val="1"/>
        </w:numPr>
        <w:jc w:val="both"/>
        <w:rPr>
          <w:rFonts w:ascii="Times New Roman" w:hAnsi="Times New Roman" w:cs="Times New Roman"/>
          <w:sz w:val="24"/>
          <w:szCs w:val="24"/>
        </w:rPr>
      </w:pPr>
      <w:r>
        <w:rPr>
          <w:rFonts w:cs="Times New Roman" w:ascii="Times New Roman" w:hAnsi="Times New Roman"/>
          <w:sz w:val="24"/>
          <w:szCs w:val="24"/>
        </w:rPr>
        <w:t>mining water use.7z</w:t>
      </w:r>
    </w:p>
    <w:p>
      <w:pPr>
        <w:pStyle w:val="Normal"/>
        <w:jc w:val="both"/>
        <w:rPr>
          <w:rFonts w:ascii="Times New Roman" w:hAnsi="Times New Roman" w:cs="Times New Roman"/>
          <w:sz w:val="24"/>
          <w:szCs w:val="24"/>
        </w:rPr>
      </w:pPr>
      <w:r>
        <w:rPr>
          <w:rFonts w:cs="Times New Roman" w:ascii="Times New Roman" w:hAnsi="Times New Roman"/>
          <w:sz w:val="24"/>
          <w:szCs w:val="24"/>
        </w:rPr>
        <w:t>withd_min.nc: reconstructed global gridded monthly water withdrawal for mining;</w:t>
      </w:r>
    </w:p>
    <w:p>
      <w:pPr>
        <w:pStyle w:val="Normal"/>
        <w:jc w:val="both"/>
        <w:rPr>
          <w:rFonts w:ascii="Times New Roman" w:hAnsi="Times New Roman" w:cs="Times New Roman"/>
          <w:sz w:val="24"/>
          <w:szCs w:val="24"/>
        </w:rPr>
      </w:pPr>
      <w:r>
        <w:rPr>
          <w:rFonts w:cs="Times New Roman" w:ascii="Times New Roman" w:hAnsi="Times New Roman"/>
          <w:sz w:val="24"/>
          <w:szCs w:val="24"/>
        </w:rPr>
        <w:t>cons_min.nc: reconstructed global gridded monthly water consumption for mining;</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References:</w:t>
      </w:r>
    </w:p>
    <w:p>
      <w:pPr>
        <w:pStyle w:val="Normal"/>
        <w:jc w:val="both"/>
        <w:rPr>
          <w:rFonts w:ascii="Times New Roman" w:hAnsi="Times New Roman" w:cs="Times New Roman"/>
          <w:sz w:val="24"/>
          <w:szCs w:val="24"/>
        </w:rPr>
      </w:pPr>
      <w:r>
        <w:rPr>
          <w:rFonts w:cs="Times New Roman" w:ascii="Times New Roman" w:hAnsi="Times New Roman"/>
          <w:sz w:val="24"/>
          <w:szCs w:val="24"/>
        </w:rPr>
        <w:t>Huang et al., Reconstruction of global gridded monthly sectoral water withdrawals for 1971-2010 and analysis of their spatiotemporal patterns (in review);</w:t>
      </w:r>
    </w:p>
    <w:p>
      <w:pPr>
        <w:pStyle w:val="Normal"/>
        <w:jc w:val="both"/>
        <w:rPr>
          <w:rFonts w:ascii="Times New Roman" w:hAnsi="Times New Roman" w:cs="Times New Roman"/>
          <w:sz w:val="24"/>
          <w:szCs w:val="24"/>
        </w:rPr>
      </w:pPr>
      <w:r>
        <w:rPr>
          <w:rFonts w:cs="Times New Roman" w:ascii="Times New Roman" w:hAnsi="Times New Roman"/>
          <w:sz w:val="24"/>
          <w:szCs w:val="24"/>
        </w:rPr>
        <w:t>Flörke, M., Kynast, E., Bärlund, I., Eisner, S., Wimmer, F., and Alcamo, J.: Domestic and industrial water uses of the past 60 years as a mirror of socio-economic development: A global simulation study, Global Environmental Change, 23, 144-156, 2013.</w:t>
      </w:r>
    </w:p>
    <w:p>
      <w:pPr>
        <w:pStyle w:val="Normal"/>
        <w:jc w:val="both"/>
        <w:rPr>
          <w:rFonts w:ascii="Times New Roman" w:hAnsi="Times New Roman" w:cs="Times New Roman"/>
          <w:sz w:val="24"/>
          <w:szCs w:val="24"/>
        </w:rPr>
      </w:pPr>
      <w:r>
        <w:rPr>
          <w:rFonts w:cs="Times New Roman" w:ascii="Times New Roman" w:hAnsi="Times New Roman"/>
          <w:sz w:val="24"/>
          <w:szCs w:val="24"/>
        </w:rPr>
        <w:t>Hejazi, M., Edmonds, J., Clarke, L., Kyle, P., Davies, E., Chaturvedi, V., Wise, M., Patel, P., Eom, J., and Calvin, K.: Long-term global water projections using six socioeconomic scenarios in an integrated assessment modeling framework, Technological Forecasting and Social Change, 81, 205-226, 2014.</w:t>
      </w:r>
    </w:p>
    <w:p>
      <w:pPr>
        <w:pStyle w:val="Normal"/>
        <w:jc w:val="both"/>
        <w:rPr>
          <w:rFonts w:ascii="Times New Roman" w:hAnsi="Times New Roman" w:cs="Times New Roman"/>
          <w:sz w:val="24"/>
          <w:szCs w:val="24"/>
        </w:rPr>
      </w:pPr>
      <w:r>
        <w:rPr>
          <w:rFonts w:cs="Times New Roman" w:ascii="Times New Roman" w:hAnsi="Times New Roman"/>
          <w:sz w:val="24"/>
          <w:szCs w:val="24"/>
        </w:rPr>
        <w:t>Voisin, N., Liu, L., Hejazi, M., Tesfa, T., Li, H., Huang, M., Liu, Y., and Leung, L.: One-way coupling of an integrated assessment model and a water resources model: evaluation and implications of future changes over the US Midwest, Hydrology and Earth System Sciences, 17, 4555-4575, 2013.</w:t>
      </w:r>
    </w:p>
    <w:p>
      <w:pPr>
        <w:pStyle w:val="Normal"/>
        <w:jc w:val="both"/>
        <w:rPr>
          <w:rFonts w:ascii="Times New Roman" w:hAnsi="Times New Roman" w:cs="Times New Roman"/>
          <w:sz w:val="24"/>
          <w:szCs w:val="24"/>
        </w:rPr>
      </w:pPr>
      <w:r>
        <w:rPr>
          <w:rFonts w:cs="Times New Roman" w:ascii="Times New Roman" w:hAnsi="Times New Roman"/>
          <w:sz w:val="24"/>
          <w:szCs w:val="24"/>
        </w:rPr>
        <w:t>Wada, Y., Van Beek, L., Viviroli, D., Dürr, H. H., Weingartner, R., and Bierkens, M. F.: Global monthly water stress: 2. Water demand and severity of water stress, Water Resources Research, 47, 2011.</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pPr>
      <w:r>
        <w:rPr>
          <w:rFonts w:cs="Times New Roman" w:ascii="Times New Roman" w:hAnsi="Times New Roman"/>
          <w:sz w:val="24"/>
          <w:szCs w:val="24"/>
        </w:rPr>
        <w:t xml:space="preserve">Contact: For further questions please contact Zhongwei Huang ( </w:t>
      </w:r>
      <w:hyperlink r:id="rId2">
        <w:r>
          <w:rPr>
            <w:rStyle w:val="InternetLink"/>
            <w:rFonts w:cs="Times New Roman" w:ascii="Times New Roman" w:hAnsi="Times New Roman"/>
            <w:sz w:val="24"/>
            <w:szCs w:val="24"/>
          </w:rPr>
          <w:t>huangzw.14b@igsnrr.ac.cn</w:t>
        </w:r>
      </w:hyperlink>
      <w:r>
        <w:rPr>
          <w:rFonts w:cs="Times New Roman" w:ascii="Times New Roman" w:hAnsi="Times New Roman"/>
          <w:sz w:val="24"/>
          <w:szCs w:val="24"/>
        </w:rPr>
        <w:t xml:space="preserve"> or </w:t>
      </w:r>
      <w:hyperlink r:id="rId3">
        <w:r>
          <w:rPr>
            <w:rStyle w:val="InternetLink"/>
            <w:rFonts w:cs="Times New Roman" w:ascii="Times New Roman" w:hAnsi="Times New Roman"/>
            <w:sz w:val="24"/>
            <w:szCs w:val="24"/>
          </w:rPr>
          <w:t>huangzw1223@gmail.com</w:t>
        </w:r>
      </w:hyperlink>
      <w:r>
        <w:rPr>
          <w:rFonts w:cs="Times New Roman" w:ascii="Times New Roman" w:hAnsi="Times New Roman"/>
          <w:sz w:val="24"/>
          <w:szCs w:val="24"/>
        </w:rPr>
        <w:t xml:space="preserve"> ).</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bidi w:val="0"/>
        <w:spacing w:lineRule="auto" w:line="259" w:before="0" w:after="160"/>
        <w:jc w:val="left"/>
        <w:rPr/>
      </w:pPr>
      <w:r>
        <w:rPr/>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alibri Light">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宋体" w:cs="" w:asciiTheme="minorHAnsi" w:cstheme="minorBidi" w:eastAsiaTheme="minorEastAsia" w:hAnsiTheme="minorHAnsi"/>
        <w:sz w:val="22"/>
        <w:szCs w:val="22"/>
        <w:lang w:val="en-US" w:eastAsia="zh-CN"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宋体" w:cs="" w:asciiTheme="minorHAnsi" w:cstheme="minorBidi" w:eastAsiaTheme="minorEastAsia" w:hAnsiTheme="minorHAnsi"/>
      <w:color w:val="auto"/>
      <w:sz w:val="22"/>
      <w:szCs w:val="22"/>
      <w:lang w:val="en-US" w:eastAsia="zh-CN" w:bidi="ar-SA"/>
    </w:rPr>
  </w:style>
  <w:style w:type="paragraph" w:styleId="Heading3">
    <w:name w:val="Heading 3"/>
    <w:basedOn w:val="Normal"/>
    <w:link w:val="3Char"/>
    <w:uiPriority w:val="9"/>
    <w:qFormat/>
    <w:rsid w:val="007f4c20"/>
    <w:pPr>
      <w:spacing w:lineRule="auto" w:line="240" w:beforeAutospacing="1" w:afterAutospacing="1"/>
      <w:outlineLvl w:val="2"/>
    </w:pPr>
    <w:rPr>
      <w:rFonts w:ascii="Times New Roman" w:hAnsi="Times New Roman" w:eastAsia="Times New Roman" w:cs="Times New Roman"/>
      <w:b/>
      <w:bCs/>
      <w:sz w:val="27"/>
      <w:szCs w:val="27"/>
    </w:rPr>
  </w:style>
  <w:style w:type="paragraph" w:styleId="Heading4">
    <w:name w:val="Heading 4"/>
    <w:basedOn w:val="Normal"/>
    <w:link w:val="4Char"/>
    <w:uiPriority w:val="9"/>
    <w:semiHidden/>
    <w:unhideWhenUsed/>
    <w:qFormat/>
    <w:rsid w:val="007f4c20"/>
    <w:pPr>
      <w:keepNext w:val="true"/>
      <w:keepLines/>
      <w:spacing w:before="40" w:after="0"/>
      <w:outlineLvl w:val="3"/>
    </w:pPr>
    <w:rPr>
      <w:rFonts w:ascii="Calibri Light" w:hAnsi="Calibri Light" w:eastAsia="宋体" w:cs="" w:asciiTheme="majorHAnsi" w:cstheme="majorBidi" w:eastAsiaTheme="majorEastAsia" w:hAnsiTheme="majorHAnsi"/>
      <w:i/>
      <w:iCs/>
      <w:color w:val="2E74B5" w:themeColor="accent1" w:themeShade="bf"/>
    </w:rPr>
  </w:style>
  <w:style w:type="character" w:styleId="DefaultParagraphFont" w:default="1">
    <w:name w:val="Default Paragraph Font"/>
    <w:uiPriority w:val="1"/>
    <w:semiHidden/>
    <w:unhideWhenUsed/>
    <w:qFormat/>
    <w:rPr/>
  </w:style>
  <w:style w:type="character" w:styleId="3Char" w:customStyle="1">
    <w:name w:val="标题 3 Char"/>
    <w:basedOn w:val="DefaultParagraphFont"/>
    <w:link w:val="3"/>
    <w:uiPriority w:val="9"/>
    <w:qFormat/>
    <w:rsid w:val="007f4c20"/>
    <w:rPr>
      <w:rFonts w:ascii="Times New Roman" w:hAnsi="Times New Roman" w:eastAsia="Times New Roman" w:cs="Times New Roman"/>
      <w:b/>
      <w:bCs/>
      <w:sz w:val="27"/>
      <w:szCs w:val="27"/>
    </w:rPr>
  </w:style>
  <w:style w:type="character" w:styleId="4Char" w:customStyle="1">
    <w:name w:val="标题 4 Char"/>
    <w:basedOn w:val="DefaultParagraphFont"/>
    <w:link w:val="4"/>
    <w:uiPriority w:val="9"/>
    <w:semiHidden/>
    <w:qFormat/>
    <w:rsid w:val="007f4c20"/>
    <w:rPr>
      <w:rFonts w:ascii="Calibri Light" w:hAnsi="Calibri Light" w:eastAsia="宋体" w:cs="" w:asciiTheme="majorHAnsi" w:cstheme="majorBidi" w:eastAsiaTheme="majorEastAsia" w:hAnsiTheme="majorHAnsi"/>
      <w:i/>
      <w:iCs/>
      <w:color w:val="2E74B5" w:themeColor="accent1" w:themeShade="bf"/>
    </w:rPr>
  </w:style>
  <w:style w:type="character" w:styleId="EndNoteBibliographyChar" w:customStyle="1">
    <w:name w:val="EndNote Bibliography Char"/>
    <w:basedOn w:val="DefaultParagraphFont"/>
    <w:link w:val="EndNoteBibliography"/>
    <w:qFormat/>
    <w:rsid w:val="00de50ab"/>
    <w:rPr>
      <w:rFonts w:ascii="Times New Roman" w:hAnsi="Times New Roman" w:cs="Times New Roman"/>
      <w:sz w:val="24"/>
      <w:szCs w:val="21"/>
      <w:lang w:eastAsia="en-US"/>
    </w:rPr>
  </w:style>
  <w:style w:type="character" w:styleId="InternetLink">
    <w:name w:val="Internet Link"/>
    <w:basedOn w:val="DefaultParagraphFont"/>
    <w:uiPriority w:val="99"/>
    <w:unhideWhenUsed/>
    <w:rsid w:val="00a22bba"/>
    <w:rPr>
      <w:color w:val="0563C1" w:themeColor="hyperlink"/>
      <w:u w:val="single"/>
    </w:rPr>
  </w:style>
  <w:style w:type="character" w:styleId="Char" w:customStyle="1">
    <w:name w:val="页眉 Char"/>
    <w:basedOn w:val="DefaultParagraphFont"/>
    <w:link w:val="a4"/>
    <w:uiPriority w:val="99"/>
    <w:qFormat/>
    <w:rsid w:val="00c03072"/>
    <w:rPr/>
  </w:style>
  <w:style w:type="character" w:styleId="Char1" w:customStyle="1">
    <w:name w:val="页脚 Char"/>
    <w:basedOn w:val="DefaultParagraphFont"/>
    <w:link w:val="a5"/>
    <w:uiPriority w:val="99"/>
    <w:qFormat/>
    <w:rsid w:val="00c03072"/>
    <w:rPr/>
  </w:style>
  <w:style w:type="paragraph" w:styleId="Heading">
    <w:name w:val="Heading"/>
    <w:basedOn w:val="Normal"/>
    <w:next w:val="TextBody"/>
    <w:qFormat/>
    <w:pPr>
      <w:keepNext w:val="true"/>
      <w:spacing w:before="240" w:after="120"/>
    </w:pPr>
    <w:rPr>
      <w:rFonts w:ascii="Liberation Sans" w:hAnsi="Liberation Sans" w:eastAsia="Tahoma"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EndNoteBibliography" w:customStyle="1">
    <w:name w:val="EndNote Bibliography"/>
    <w:basedOn w:val="Normal"/>
    <w:link w:val="EndNoteBibliographyChar"/>
    <w:qFormat/>
    <w:rsid w:val="00de50ab"/>
    <w:pPr>
      <w:spacing w:lineRule="auto" w:line="240" w:before="0" w:after="200"/>
      <w:jc w:val="both"/>
    </w:pPr>
    <w:rPr>
      <w:rFonts w:ascii="Times New Roman" w:hAnsi="Times New Roman" w:cs="Times New Roman"/>
      <w:sz w:val="24"/>
      <w:szCs w:val="21"/>
      <w:lang w:eastAsia="en-US"/>
    </w:rPr>
  </w:style>
  <w:style w:type="paragraph" w:styleId="Header">
    <w:name w:val="Header"/>
    <w:basedOn w:val="Normal"/>
    <w:link w:val="Char"/>
    <w:uiPriority w:val="99"/>
    <w:unhideWhenUsed/>
    <w:rsid w:val="00c03072"/>
    <w:pPr>
      <w:tabs>
        <w:tab w:val="center" w:pos="4320" w:leader="none"/>
        <w:tab w:val="right" w:pos="8640" w:leader="none"/>
      </w:tabs>
      <w:spacing w:lineRule="auto" w:line="240" w:before="0" w:after="0"/>
    </w:pPr>
    <w:rPr/>
  </w:style>
  <w:style w:type="paragraph" w:styleId="Footer">
    <w:name w:val="Footer"/>
    <w:basedOn w:val="Normal"/>
    <w:link w:val="Char0"/>
    <w:uiPriority w:val="99"/>
    <w:unhideWhenUsed/>
    <w:rsid w:val="00c03072"/>
    <w:pPr>
      <w:tabs>
        <w:tab w:val="center" w:pos="4320" w:leader="none"/>
        <w:tab w:val="right" w:pos="8640" w:leader="none"/>
      </w:tabs>
      <w:spacing w:lineRule="auto" w:line="240" w:before="0" w:after="0"/>
    </w:pPr>
    <w:rPr/>
  </w:style>
  <w:style w:type="paragraph" w:styleId="ListParagraph">
    <w:name w:val="List Paragraph"/>
    <w:basedOn w:val="Normal"/>
    <w:uiPriority w:val="34"/>
    <w:qFormat/>
    <w:rsid w:val="00c03072"/>
    <w:pPr>
      <w:spacing w:before="0" w:after="16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huangzw.14b@igsnrr.ac.cn" TargetMode="External"/><Relationship Id="rId3" Type="http://schemas.openxmlformats.org/officeDocument/2006/relationships/hyperlink" Target="mailto:huangzw1223@gmail.com"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Application>LibreOffice/5.3.6.1$Linux_X86_64 LibreOffice_project/30$Build-1</Application>
  <Pages>2</Pages>
  <Words>708</Words>
  <Characters>4601</Characters>
  <CharactersWithSpaces>5260</CharactersWithSpaces>
  <Paragraphs>36</Paragraphs>
  <Company>PNNL IM Services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2017-09-13T21:52:00Z</dcterms:created>
  <dc:creator>Huang, Zhongwei</dc:creator>
  <dc:description/>
  <dc:language>fr-FR</dc:language>
  <cp:lastModifiedBy>Mengfei Mu</cp:lastModifiedBy>
  <dcterms:modified xsi:type="dcterms:W3CDTF">2018-02-23T04:58:00Z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PNNL IM Services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