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25"/>
        <w:gridCol w:w="6373"/>
      </w:tblGrid>
      <w:tr w:rsidR="00EB7AA0" w:rsidRPr="006E443E" w:rsidTr="00EB7AA0">
        <w:tc>
          <w:tcPr>
            <w:tcW w:w="2925" w:type="dxa"/>
          </w:tcPr>
          <w:p w:rsidR="00EB7AA0" w:rsidRPr="006E443E" w:rsidRDefault="00EB7AA0" w:rsidP="00EB7AA0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Secteurs de développement</w:t>
            </w:r>
          </w:p>
        </w:tc>
        <w:tc>
          <w:tcPr>
            <w:tcW w:w="6373" w:type="dxa"/>
          </w:tcPr>
          <w:p w:rsidR="00EB7AA0" w:rsidRPr="006E443E" w:rsidRDefault="00EB7AA0" w:rsidP="00EB7AA0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EB7AA0">
              <w:rPr>
                <w:rFonts w:ascii="Century Gothic" w:hAnsi="Century Gothic"/>
                <w:b/>
                <w:bCs/>
                <w:sz w:val="21"/>
                <w:szCs w:val="21"/>
              </w:rPr>
              <w:t>Priorités de développement et objectifs de croissance</w:t>
            </w:r>
            <w:bookmarkStart w:id="0" w:name="_GoBack"/>
            <w:bookmarkEnd w:id="0"/>
            <w:r w:rsidRPr="00EB7AA0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2025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>Gouvernance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 xml:space="preserve">Mise en œuvre des dispositifs de l’accord-cadre de coopération 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>Création d’un cadre transfrontalier de gestion coordonnée des RE Mékrou (représentants usagers ; administration ; Société civile, SFN…)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>Application de la charte de l’eau du bassin du fleuve Niger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>Renforcement des  capacités de suivi et de gestion des RE, des écosystèmes, et de gestion des systèmes d’alerte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>AEP et assainissement</w:t>
            </w:r>
          </w:p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25C0C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</w:t>
            </w:r>
            <w:r w:rsidRPr="006E443E">
              <w:rPr>
                <w:rFonts w:ascii="Century Gothic" w:hAnsi="Century Gothic"/>
                <w:sz w:val="21"/>
                <w:szCs w:val="21"/>
              </w:rPr>
              <w:t> :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>Initiative commune de soutien au relèvement des taux d’accès à l’AEP et à l’assainissement pour toutes les communes de la zone d’influence de la Mékrou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Objectif de croissance (2025)</w:t>
            </w:r>
            <w:r w:rsidRPr="006E443E">
              <w:rPr>
                <w:rFonts w:ascii="Century Gothic" w:hAnsi="Century Gothic"/>
                <w:sz w:val="21"/>
                <w:szCs w:val="21"/>
              </w:rPr>
              <w:t xml:space="preserve"> : 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>AEP : 100%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(milieux rural et urbain</w:t>
            </w:r>
            <w:r w:rsidRPr="006E443E">
              <w:rPr>
                <w:rFonts w:ascii="Century Gothic" w:hAnsi="Century Gothic"/>
                <w:sz w:val="21"/>
                <w:szCs w:val="21"/>
              </w:rPr>
              <w:t xml:space="preserve"> ; </w:t>
            </w:r>
          </w:p>
          <w:p w:rsidR="00EB7AA0" w:rsidRPr="006E443E" w:rsidRDefault="00EB7AA0" w:rsidP="00EB7AA0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</w:rPr>
              <w:t xml:space="preserve">Assainissement : 50% </w:t>
            </w:r>
            <w:r>
              <w:rPr>
                <w:rFonts w:ascii="Century Gothic" w:hAnsi="Century Gothic"/>
                <w:sz w:val="21"/>
                <w:szCs w:val="21"/>
              </w:rPr>
              <w:t>(milieu</w:t>
            </w:r>
            <w:r w:rsidRPr="006E443E">
              <w:rPr>
                <w:rFonts w:ascii="Century Gothic" w:hAnsi="Century Gothic"/>
                <w:sz w:val="21"/>
                <w:szCs w:val="21"/>
              </w:rPr>
              <w:t xml:space="preserve"> rural</w:t>
            </w:r>
            <w:r>
              <w:rPr>
                <w:rFonts w:ascii="Century Gothic" w:hAnsi="Century Gothic"/>
                <w:sz w:val="21"/>
                <w:szCs w:val="21"/>
              </w:rPr>
              <w:t>) ; 70% à 90% (milieu urbain)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>Agriculture (pluviale ; irriguée)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Réglementation </w:t>
            </w:r>
            <w:r w:rsidRPr="006E443E">
              <w:rPr>
                <w:rFonts w:ascii="Century Gothic" w:hAnsi="Century Gothic"/>
                <w:sz w:val="21"/>
                <w:szCs w:val="21"/>
              </w:rPr>
              <w:t>commune et gestion harmonisées de l’utilisation des produits phytosanitaires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Relèvement du niveau de sécurité alimentaire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>de 3</w:t>
            </w:r>
            <w:r w:rsidRPr="00A2698A">
              <w:rPr>
                <w:rFonts w:ascii="Century Gothic" w:hAnsi="Century Gothic"/>
                <w:bCs/>
                <w:sz w:val="21"/>
                <w:szCs w:val="21"/>
              </w:rPr>
              <w:t xml:space="preserve">0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à 50 </w:t>
            </w:r>
            <w:r w:rsidRPr="00A2698A">
              <w:rPr>
                <w:rFonts w:ascii="Century Gothic" w:hAnsi="Century Gothic"/>
                <w:bCs/>
                <w:sz w:val="21"/>
                <w:szCs w:val="21"/>
              </w:rPr>
              <w:t>points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F02E3B">
              <w:rPr>
                <w:rFonts w:ascii="Century Gothic" w:hAnsi="Century Gothic"/>
                <w:bCs/>
                <w:sz w:val="21"/>
                <w:szCs w:val="21"/>
              </w:rPr>
              <w:t xml:space="preserve">dans toutes les communes de la zone d’influence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>(</w:t>
            </w:r>
            <w:r w:rsidRPr="00F02E3B">
              <w:rPr>
                <w:rFonts w:ascii="Century Gothic" w:hAnsi="Century Gothic"/>
                <w:bCs/>
                <w:sz w:val="21"/>
                <w:szCs w:val="21"/>
              </w:rPr>
              <w:t>Appui au secteur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6E443E">
              <w:rPr>
                <w:rFonts w:ascii="Century Gothic" w:hAnsi="Century Gothic"/>
                <w:sz w:val="21"/>
                <w:szCs w:val="21"/>
              </w:rPr>
              <w:t>privé dans le cadre des SAGE au développement de la micro- irrigation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 ; développement de la petite irrigation à maitrise totale ou partielle d’eau ; sécurisation des cultures pluviales contre les épisodes de sécheresses et d’inondation…)  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Initiative commune </w:t>
            </w:r>
            <w:r w:rsidRPr="006E443E">
              <w:rPr>
                <w:rFonts w:ascii="Century Gothic" w:hAnsi="Century Gothic"/>
                <w:sz w:val="21"/>
                <w:szCs w:val="21"/>
              </w:rPr>
              <w:t>d’appui aux 3 Etats dans toutes les communes de la zone d’influence pour  la promotion de la production de semences améliorées adaptées aux aléas climatiques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Mise en œuvre </w:t>
            </w:r>
            <w:r w:rsidRPr="006E443E">
              <w:rPr>
                <w:rFonts w:ascii="Century Gothic" w:hAnsi="Century Gothic"/>
                <w:sz w:val="21"/>
                <w:szCs w:val="21"/>
              </w:rPr>
              <w:t xml:space="preserve">d’un système d’alerte précoce sur les déficits de la production céréalière dans toutes les communes de la zone d’influence de la Mékrou 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b/>
                <w:sz w:val="21"/>
                <w:szCs w:val="21"/>
              </w:rPr>
              <w:t>20% des superficies</w:t>
            </w:r>
            <w:r w:rsidRPr="00E503CC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E503CC">
              <w:rPr>
                <w:rFonts w:ascii="Century Gothic" w:hAnsi="Century Gothic"/>
                <w:b/>
                <w:sz w:val="21"/>
                <w:szCs w:val="21"/>
              </w:rPr>
              <w:t>réservées aux productions pluviales</w:t>
            </w:r>
            <w:r w:rsidRPr="00E503CC">
              <w:rPr>
                <w:rFonts w:ascii="Century Gothic" w:hAnsi="Century Gothic"/>
                <w:sz w:val="21"/>
                <w:szCs w:val="21"/>
              </w:rPr>
              <w:t> sont sécurisées par l’irrigation de complément ;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b/>
                <w:sz w:val="21"/>
                <w:szCs w:val="21"/>
              </w:rPr>
              <w:t>Aménagement</w:t>
            </w:r>
            <w:r w:rsidRPr="00E503CC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E503CC">
              <w:rPr>
                <w:rFonts w:ascii="Century Gothic" w:hAnsi="Century Gothic"/>
                <w:b/>
                <w:sz w:val="21"/>
                <w:szCs w:val="21"/>
              </w:rPr>
              <w:t>et exploitation de 50 ha de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micro-irrigation par commune de la zone d’influence 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2698A">
              <w:rPr>
                <w:rFonts w:ascii="Century Gothic" w:hAnsi="Century Gothic"/>
                <w:b/>
                <w:sz w:val="21"/>
                <w:szCs w:val="21"/>
              </w:rPr>
              <w:t xml:space="preserve">Aménagement de 2 000 à </w:t>
            </w:r>
            <w:r w:rsidRPr="00A2698A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A2698A">
              <w:rPr>
                <w:b/>
              </w:rPr>
              <w:t>000</w:t>
            </w:r>
            <w:r w:rsidRPr="00A2698A">
              <w:rPr>
                <w:rFonts w:ascii="Century Gothic" w:hAnsi="Century Gothic"/>
                <w:b/>
                <w:sz w:val="21"/>
                <w:szCs w:val="21"/>
              </w:rPr>
              <w:t xml:space="preserve"> ha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 bas-fonds améliorés (irrigation à maitrise partielle) dans la zone d’influence par pays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2698A">
              <w:rPr>
                <w:rFonts w:ascii="Century Gothic" w:hAnsi="Century Gothic"/>
                <w:b/>
                <w:sz w:val="21"/>
                <w:szCs w:val="21"/>
              </w:rPr>
              <w:t>Aménagements de petits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périmètres à maitrise totale d’eau en micro-irrigation à hauteur 200 ha par pays dans les communes de la zone d’influence pour la production maraichère et fruitière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25C0C">
              <w:rPr>
                <w:rFonts w:ascii="Century Gothic" w:hAnsi="Century Gothic"/>
                <w:b/>
                <w:sz w:val="21"/>
                <w:szCs w:val="21"/>
              </w:rPr>
              <w:t>Aménagement 1000 à 2000 ha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 culture irriguée (maïs, légumineuse…) par pays dans les communes de la zone d’influence de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100% des zones de culture pluviales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fréquemment inondées de la zone d’influence du bassin de la Mékrou identifiées et protégées</w:t>
            </w:r>
          </w:p>
          <w:p w:rsidR="00EB7AA0" w:rsidRPr="00D6543B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E503CC" w:rsidRDefault="00EB7AA0" w:rsidP="005D3BB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503CC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Elevage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b/>
                <w:sz w:val="21"/>
                <w:szCs w:val="21"/>
              </w:rPr>
              <w:t>Réglementation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commune et gestion conce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rtée de la grande transhumance </w:t>
            </w:r>
            <w:r w:rsidRPr="00E503CC">
              <w:rPr>
                <w:rFonts w:ascii="Century Gothic" w:hAnsi="Century Gothic"/>
                <w:sz w:val="21"/>
                <w:szCs w:val="21"/>
              </w:rPr>
              <w:t>(Maitrise des flux, veille sanitaire, couloirs de passage dans les parcs …) dans toutes les communes de la zone d’influence de la Mékrou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Sécurisation alimentaire </w:t>
            </w:r>
            <w:r w:rsidRPr="00F02E3B">
              <w:rPr>
                <w:rFonts w:ascii="Century Gothic" w:hAnsi="Century Gothic"/>
                <w:sz w:val="21"/>
                <w:szCs w:val="21"/>
              </w:rPr>
              <w:t>pour le cheptel de la zone d’influence de la Mékrou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F02E3B">
              <w:rPr>
                <w:rFonts w:ascii="Century Gothic" w:hAnsi="Century Gothic"/>
                <w:sz w:val="21"/>
                <w:szCs w:val="21"/>
              </w:rPr>
              <w:t>(développement de la production fourragère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dans le cadre des SAGE</w:t>
            </w:r>
            <w:r>
              <w:rPr>
                <w:rFonts w:ascii="Century Gothic" w:hAnsi="Century Gothic"/>
                <w:sz w:val="21"/>
                <w:szCs w:val="21"/>
              </w:rPr>
              <w:t> ; aménagements pastoraux intégrés ; conditionnement du fourrage…)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Pr="000B6D7A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B6D7A">
              <w:rPr>
                <w:rFonts w:ascii="Century Gothic" w:hAnsi="Century Gothic"/>
                <w:b/>
                <w:sz w:val="21"/>
                <w:szCs w:val="21"/>
              </w:rPr>
              <w:t xml:space="preserve">Aménagement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pastoral </w:t>
            </w:r>
            <w:r w:rsidRPr="000B6D7A">
              <w:rPr>
                <w:rFonts w:ascii="Century Gothic" w:hAnsi="Century Gothic"/>
                <w:b/>
                <w:sz w:val="21"/>
                <w:szCs w:val="21"/>
              </w:rPr>
              <w:t>de 500 à 700 ha</w:t>
            </w:r>
            <w:r w:rsidRPr="000B6D7A">
              <w:rPr>
                <w:rFonts w:ascii="Century Gothic" w:hAnsi="Century Gothic"/>
                <w:sz w:val="21"/>
                <w:szCs w:val="21"/>
              </w:rPr>
              <w:t xml:space="preserve"> par commune de la zone d’influence de la Mékrou (couloirs de passage, aires de pâturage, aires de repos, points d’eau …)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B6D7A">
              <w:rPr>
                <w:rFonts w:ascii="Century Gothic" w:hAnsi="Century Gothic"/>
                <w:b/>
                <w:sz w:val="21"/>
                <w:szCs w:val="21"/>
              </w:rPr>
              <w:t>Couverture à 100% des besoins</w:t>
            </w:r>
            <w:r w:rsidRPr="000B6D7A">
              <w:rPr>
                <w:rFonts w:ascii="Century Gothic" w:hAnsi="Century Gothic"/>
                <w:sz w:val="21"/>
                <w:szCs w:val="21"/>
              </w:rPr>
              <w:t xml:space="preserve"> en fourrage sec du cheptel non transhumant dans toutes les communes à déficit fourrager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B6D7A">
              <w:rPr>
                <w:rFonts w:ascii="Century Gothic" w:hAnsi="Century Gothic"/>
                <w:b/>
                <w:sz w:val="21"/>
                <w:szCs w:val="21"/>
              </w:rPr>
              <w:t>Sécurisation de 100% des pistes</w:t>
            </w:r>
            <w:r w:rsidRPr="000B6D7A">
              <w:rPr>
                <w:rFonts w:ascii="Century Gothic" w:hAnsi="Century Gothic"/>
                <w:sz w:val="21"/>
                <w:szCs w:val="21"/>
              </w:rPr>
              <w:t xml:space="preserve"> de circulation afin d’éviter les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conflits éleveurs-agriculteurs 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E503CC" w:rsidRDefault="00EB7AA0" w:rsidP="005D3BBD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Pêche</w:t>
            </w:r>
          </w:p>
        </w:tc>
        <w:tc>
          <w:tcPr>
            <w:tcW w:w="6373" w:type="dxa"/>
          </w:tcPr>
          <w:p w:rsidR="00EB7AA0" w:rsidRDefault="00EB7AA0" w:rsidP="005D3BBD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</w:t>
            </w:r>
          </w:p>
          <w:p w:rsidR="00EB7AA0" w:rsidRPr="003127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127CC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Mécanisme commun </w:t>
            </w:r>
            <w:r w:rsidRPr="003127CC">
              <w:rPr>
                <w:rFonts w:ascii="Century Gothic" w:hAnsi="Century Gothic"/>
                <w:sz w:val="21"/>
                <w:szCs w:val="21"/>
              </w:rPr>
              <w:t xml:space="preserve">de règlementation et de gestion concertées de la pêche (normalisation commune, coordination des actions entre les polices de l’environnement et de l’eau des 3 pays ; veille sur les normes ; sensibilisation et répression des pratiques non durables) </w:t>
            </w:r>
          </w:p>
          <w:p w:rsidR="00EB7AA0" w:rsidRPr="003127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127CC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Programme commun de soutien au </w:t>
            </w:r>
            <w:r w:rsidRPr="003127CC">
              <w:rPr>
                <w:rFonts w:ascii="Century Gothic" w:hAnsi="Century Gothic"/>
                <w:sz w:val="21"/>
                <w:szCs w:val="21"/>
              </w:rPr>
              <w:t>développement de l’aquaculture et de la pêche de capture (ensemencement ; production d’alevins ; …) dans la zone d’influence de la Mékrou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127CC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Appui aux programmes nationaux </w:t>
            </w:r>
            <w:r w:rsidRPr="003127CC">
              <w:rPr>
                <w:rFonts w:ascii="Century Gothic" w:hAnsi="Century Gothic"/>
                <w:sz w:val="21"/>
                <w:szCs w:val="21"/>
              </w:rPr>
              <w:t>d’identification et de protection des frayères dans la zone d’</w:t>
            </w:r>
            <w:r>
              <w:rPr>
                <w:rFonts w:ascii="Century Gothic" w:hAnsi="Century Gothic"/>
                <w:sz w:val="21"/>
                <w:szCs w:val="21"/>
              </w:rPr>
              <w:t>influence de la Mékrou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Pr="00C71EA9" w:rsidRDefault="00EB7AA0" w:rsidP="00EB7AA0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rFonts w:ascii="Century Gothic" w:hAnsi="Century Gothic"/>
                <w:sz w:val="21"/>
                <w:szCs w:val="21"/>
              </w:rPr>
            </w:pPr>
            <w:r w:rsidRPr="00C71EA9">
              <w:rPr>
                <w:rFonts w:ascii="Century Gothic" w:hAnsi="Century Gothic"/>
                <w:sz w:val="21"/>
                <w:szCs w:val="21"/>
              </w:rPr>
              <w:t xml:space="preserve">Appui à hauteur de 60% des couts des programmes nationaux de production d’alevins pour l’ensemencement des plans d’eau </w:t>
            </w:r>
          </w:p>
          <w:p w:rsidR="00EB7AA0" w:rsidRPr="00E74700" w:rsidRDefault="00EB7AA0" w:rsidP="00EB7AA0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rFonts w:ascii="Century Gothic" w:hAnsi="Century Gothic"/>
                <w:sz w:val="21"/>
                <w:szCs w:val="21"/>
              </w:rPr>
            </w:pPr>
            <w:r w:rsidRPr="00C71EA9">
              <w:rPr>
                <w:rFonts w:ascii="Century Gothic" w:hAnsi="Century Gothic"/>
                <w:sz w:val="21"/>
                <w:szCs w:val="21"/>
              </w:rPr>
              <w:t>production d’au moins 200 tonnes/an</w:t>
            </w:r>
            <w:r>
              <w:rPr>
                <w:rFonts w:ascii="Century Gothic" w:hAnsi="Century Gothic"/>
                <w:sz w:val="21"/>
                <w:szCs w:val="21"/>
              </w:rPr>
              <w:t>  (</w:t>
            </w:r>
            <w:r w:rsidRPr="00C71EA9">
              <w:rPr>
                <w:rFonts w:ascii="Century Gothic" w:hAnsi="Century Gothic"/>
                <w:sz w:val="21"/>
                <w:szCs w:val="21"/>
              </w:rPr>
              <w:t xml:space="preserve">création de bassins ou d’étangs piscicoles dans toutes les communes de la zone d’influence 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0B6D7A">
              <w:rPr>
                <w:rFonts w:ascii="Century Gothic" w:hAnsi="Century Gothic"/>
                <w:b/>
                <w:bCs/>
                <w:sz w:val="21"/>
                <w:szCs w:val="21"/>
              </w:rPr>
              <w:t>Ressources en eau</w:t>
            </w: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Ressources en eau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lastRenderedPageBreak/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Pr="000B6D7A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B6D7A">
              <w:rPr>
                <w:rFonts w:ascii="Century Gothic" w:hAnsi="Century Gothic"/>
                <w:b/>
                <w:bCs/>
                <w:sz w:val="21"/>
                <w:szCs w:val="21"/>
              </w:rPr>
              <w:t>Programme</w:t>
            </w:r>
            <w:r w:rsidRPr="000B6D7A">
              <w:rPr>
                <w:rFonts w:ascii="Century Gothic" w:hAnsi="Century Gothic"/>
                <w:sz w:val="21"/>
                <w:szCs w:val="21"/>
              </w:rPr>
              <w:t xml:space="preserve"> et mécanismes communs de gestion des phénomènes d’érosion et de comblement des lits de la Mékrou et des lacs d’eau de surface</w:t>
            </w:r>
          </w:p>
          <w:p w:rsidR="00EB7AA0" w:rsidRPr="000B6D7A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Gestion concertée opérationnelle et efficace </w:t>
            </w:r>
            <w:r w:rsidRPr="004E0C41">
              <w:rPr>
                <w:rFonts w:ascii="Century Gothic" w:hAnsi="Century Gothic"/>
                <w:sz w:val="21"/>
                <w:szCs w:val="21"/>
              </w:rPr>
              <w:t>des ressources en eau et des écosystèmes aquatiques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forestiers du bassin de la Mékrou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4E0C41">
              <w:rPr>
                <w:rFonts w:ascii="Century Gothic" w:hAnsi="Century Gothic"/>
                <w:sz w:val="21"/>
                <w:szCs w:val="21"/>
              </w:rPr>
              <w:t>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dispositifs de suivi quantitatif et qualitatif; SIG sur les ressources en eau, les usages et usagers de l’eau ; partage des données et informations…); </w:t>
            </w:r>
          </w:p>
          <w:p w:rsidR="00EB7AA0" w:rsidRPr="002A1DE6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Système </w:t>
            </w:r>
            <w:r w:rsidRPr="002A1DE6">
              <w:rPr>
                <w:rFonts w:ascii="Century Gothic" w:hAnsi="Century Gothic"/>
                <w:sz w:val="21"/>
                <w:szCs w:val="21"/>
              </w:rPr>
              <w:t>commun d’alerte précoce sur les inondations et les sécheresses dans la zone de la Mékrou et en lien avec l’ABN</w:t>
            </w:r>
          </w:p>
          <w:p w:rsidR="00EB7AA0" w:rsidRPr="002A1DE6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Mécanisme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 commun de gestion de la problématique de la pollution des ressources en eau de la Mékrou (polluant chimique, perturbation de la qualité physico-chimique des ressources en eau du bassin hydrographique de la Mékrou…) 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Pr="002A1DE6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t>Identification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 et protection de 100% des zones à forte érosion de berges de cours d’eau et de lacs de la zone d’influence </w:t>
            </w:r>
          </w:p>
          <w:p w:rsidR="00EB7AA0" w:rsidRPr="002A1DE6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t>Equipement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 de 100% des zones identifiées en instruments de suivi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(i) quantitatif et qualitatif des ressources en eau du bassin de la Mékrou et du parc W ; </w:t>
            </w:r>
            <w:r w:rsidRPr="002A1DE6">
              <w:rPr>
                <w:rFonts w:ascii="Century Gothic" w:hAnsi="Century Gothic"/>
                <w:sz w:val="21"/>
                <w:szCs w:val="21"/>
              </w:rPr>
              <w:t>des phénomènes d’érosion et de comblement</w:t>
            </w:r>
          </w:p>
          <w:p w:rsidR="00EB7AA0" w:rsidRPr="002A1DE6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t>Aménagement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 (reboisement, enherbement …) de 100% des berges et des portions du bassin de la Mékrou dégradées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portions dénudées du bassin de la Mékrou</w:t>
            </w:r>
            <w:r w:rsidRPr="002A1DE6">
              <w:rPr>
                <w:rFonts w:ascii="Century Gothic" w:hAnsi="Century Gothic"/>
                <w:sz w:val="21"/>
                <w:szCs w:val="21"/>
              </w:rPr>
              <w:t>;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A1DE6">
              <w:rPr>
                <w:rFonts w:ascii="Century Gothic" w:hAnsi="Century Gothic"/>
                <w:b/>
                <w:bCs/>
                <w:sz w:val="21"/>
                <w:szCs w:val="21"/>
              </w:rPr>
              <w:t>Renforcement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 de capacité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de gestion 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des administrations techniques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centrales et </w:t>
            </w:r>
            <w:r w:rsidRPr="002A1DE6">
              <w:rPr>
                <w:rFonts w:ascii="Century Gothic" w:hAnsi="Century Gothic"/>
                <w:sz w:val="21"/>
                <w:szCs w:val="21"/>
              </w:rPr>
              <w:t xml:space="preserve">locales </w:t>
            </w:r>
            <w:r>
              <w:rPr>
                <w:rFonts w:ascii="Century Gothic" w:hAnsi="Century Gothic"/>
                <w:sz w:val="21"/>
                <w:szCs w:val="21"/>
              </w:rPr>
              <w:t>en matière de suivi et d</w:t>
            </w:r>
            <w:r w:rsidRPr="002A1DE6">
              <w:rPr>
                <w:rFonts w:ascii="Century Gothic" w:hAnsi="Century Gothic"/>
                <w:sz w:val="21"/>
                <w:szCs w:val="21"/>
              </w:rPr>
              <w:t>’évaluation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de protection des ressources en eau de la zone d’influence de la Mékrou (équipements techniques de collecte, traitement et diffusion en lien avec l’ABN; formation…)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Energie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Pr="006F0EA5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t>Développement</w:t>
            </w:r>
            <w:r w:rsidRPr="006F0EA5">
              <w:rPr>
                <w:rFonts w:ascii="Century Gothic" w:hAnsi="Century Gothic"/>
                <w:sz w:val="21"/>
                <w:szCs w:val="21"/>
              </w:rPr>
              <w:t xml:space="preserve"> et vulgarisation des foyers et fours solaires dans toutes les communes de la zone d’influence de la Mékrou</w:t>
            </w:r>
          </w:p>
          <w:p w:rsidR="00EB7AA0" w:rsidRPr="006F0EA5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Appui aux </w:t>
            </w:r>
            <w:r w:rsidRPr="006F0EA5">
              <w:rPr>
                <w:rFonts w:ascii="Century Gothic" w:hAnsi="Century Gothic"/>
                <w:sz w:val="21"/>
                <w:szCs w:val="21"/>
              </w:rPr>
              <w:t>programmes nationaux d’aménagement de zones de production locales de ligneux à croissance rapide pour le bois de chauffe et d’œuvre dans toutes les communes de la zone d’influence de la Mékrou</w:t>
            </w:r>
          </w:p>
          <w:p w:rsidR="00EB7AA0" w:rsidRPr="006F0EA5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t>Initiative</w:t>
            </w:r>
            <w:r w:rsidRPr="006F0EA5">
              <w:rPr>
                <w:rFonts w:ascii="Century Gothic" w:hAnsi="Century Gothic"/>
                <w:sz w:val="21"/>
                <w:szCs w:val="21"/>
              </w:rPr>
              <w:t xml:space="preserve"> commune de création d’une centrale commune ou d’intérêt commun de production d’énergie solaire au profit des communes de la zone d’influence de la Mékrou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sz w:val="21"/>
                <w:szCs w:val="21"/>
              </w:rPr>
              <w:t>40% des ménages</w:t>
            </w:r>
            <w:r w:rsidRPr="006F0EA5">
              <w:rPr>
                <w:rFonts w:ascii="Century Gothic" w:hAnsi="Century Gothic"/>
                <w:sz w:val="21"/>
                <w:szCs w:val="21"/>
              </w:rPr>
              <w:t xml:space="preserve"> utilisent un foyer ou four solaire dans chaque commune du bassin</w:t>
            </w:r>
          </w:p>
          <w:p w:rsidR="00EB7AA0" w:rsidRPr="006F0EA5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sz w:val="21"/>
                <w:szCs w:val="21"/>
              </w:rPr>
              <w:t>1000 ha de forêts</w:t>
            </w:r>
            <w:r w:rsidRPr="006F0EA5">
              <w:rPr>
                <w:rFonts w:ascii="Century Gothic" w:hAnsi="Century Gothic"/>
                <w:sz w:val="21"/>
                <w:szCs w:val="21"/>
              </w:rPr>
              <w:t xml:space="preserve"> aménagées dans chaque commune de la zone d’influence du bassin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F64383">
              <w:rPr>
                <w:rFonts w:ascii="Century Gothic" w:hAnsi="Century Gothic"/>
                <w:sz w:val="21"/>
                <w:szCs w:val="21"/>
              </w:rPr>
              <w:t>+ agroforesterie (champs)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56C9">
              <w:rPr>
                <w:rFonts w:ascii="Century Gothic" w:hAnsi="Century Gothic"/>
                <w:b/>
                <w:sz w:val="21"/>
                <w:szCs w:val="21"/>
              </w:rPr>
              <w:t>Installation d’une centrale solaire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 … Mégawatt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E443E" w:rsidRDefault="00EB7AA0" w:rsidP="005D3BBD">
            <w:pPr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t>Industrie, artisanat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Pr="006F0EA5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F0EA5">
              <w:rPr>
                <w:rFonts w:ascii="Century Gothic" w:hAnsi="Century Gothic"/>
                <w:b/>
                <w:bCs/>
                <w:sz w:val="21"/>
                <w:szCs w:val="21"/>
              </w:rPr>
              <w:t>Installation</w:t>
            </w:r>
            <w:r w:rsidRPr="006F0EA5">
              <w:rPr>
                <w:rFonts w:ascii="Century Gothic" w:hAnsi="Century Gothic"/>
                <w:sz w:val="21"/>
                <w:szCs w:val="21"/>
              </w:rPr>
              <w:t xml:space="preserve"> d’unités agroalimentaires dans les communes du bassin (laiterie, </w:t>
            </w:r>
            <w:r>
              <w:rPr>
                <w:rFonts w:ascii="Century Gothic" w:hAnsi="Century Gothic"/>
                <w:sz w:val="21"/>
                <w:szCs w:val="21"/>
              </w:rPr>
              <w:t>production de jus de fruit, …)</w:t>
            </w:r>
          </w:p>
          <w:p w:rsidR="00EB7AA0" w:rsidRPr="004E0C41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E0C41">
              <w:rPr>
                <w:rFonts w:ascii="Century Gothic" w:hAnsi="Century Gothic"/>
                <w:b/>
                <w:bCs/>
                <w:sz w:val="21"/>
                <w:szCs w:val="21"/>
              </w:rPr>
              <w:t>Soutien</w:t>
            </w:r>
            <w:r w:rsidRPr="004E0C41">
              <w:rPr>
                <w:rFonts w:ascii="Century Gothic" w:hAnsi="Century Gothic"/>
                <w:sz w:val="21"/>
                <w:szCs w:val="21"/>
              </w:rPr>
              <w:t xml:space="preserve"> à un programme commun de suivi et d’organisation des activités d’orpaillage, de pêche et la coton- culture pour des pratiques à faible impact sur les écosystèmes aquatiques et forestiers dans le cadre des SAGE</w:t>
            </w: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379C">
              <w:rPr>
                <w:rFonts w:ascii="Century Gothic" w:hAnsi="Century Gothic"/>
                <w:b/>
                <w:sz w:val="21"/>
                <w:szCs w:val="21"/>
              </w:rPr>
              <w:t xml:space="preserve">Une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unité agroalimentaire au choix par commune ou groupe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 communes (soutien à l’installation pour le secteur privé)</w:t>
            </w:r>
          </w:p>
        </w:tc>
      </w:tr>
      <w:tr w:rsidR="00EB7AA0" w:rsidRPr="006E443E" w:rsidTr="00EB7AA0">
        <w:tc>
          <w:tcPr>
            <w:tcW w:w="2925" w:type="dxa"/>
            <w:vAlign w:val="center"/>
          </w:tcPr>
          <w:p w:rsidR="00EB7AA0" w:rsidRPr="006F0EA5" w:rsidRDefault="00EB7AA0" w:rsidP="005D3BB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Environnement</w:t>
            </w:r>
          </w:p>
        </w:tc>
        <w:tc>
          <w:tcPr>
            <w:tcW w:w="6373" w:type="dxa"/>
          </w:tcPr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6E443E">
              <w:rPr>
                <w:rFonts w:ascii="Century Gothic" w:hAnsi="Century Gothic"/>
                <w:sz w:val="21"/>
                <w:szCs w:val="21"/>
                <w:u w:val="single"/>
              </w:rPr>
              <w:t>Priorités de développement :</w:t>
            </w:r>
            <w:r w:rsidRPr="006E443E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</w:p>
          <w:p w:rsidR="00EB7AA0" w:rsidRPr="004E0C41" w:rsidRDefault="00EB7AA0" w:rsidP="005D3BBD">
            <w:pPr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  <w:r w:rsidRPr="004E0C41">
              <w:rPr>
                <w:rFonts w:ascii="Century Gothic" w:hAnsi="Century Gothic"/>
                <w:b/>
                <w:bCs/>
                <w:sz w:val="21"/>
                <w:szCs w:val="21"/>
              </w:rPr>
              <w:t>Programme commun de restauration</w:t>
            </w:r>
            <w:r w:rsidRPr="004E0C41">
              <w:rPr>
                <w:rFonts w:ascii="Century Gothic" w:hAnsi="Century Gothic"/>
                <w:bCs/>
                <w:sz w:val="21"/>
                <w:szCs w:val="21"/>
              </w:rPr>
              <w:t xml:space="preserve"> et de protection des écosystèmes aquatiques et forestiers (continuums écologiques dégradés ; forêts ; berges de la Mékrou ; zones sacrées…)</w:t>
            </w:r>
          </w:p>
          <w:p w:rsidR="00EB7AA0" w:rsidRPr="00D934D1" w:rsidRDefault="00EB7AA0" w:rsidP="005D3BBD">
            <w:pPr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  <w:r w:rsidRPr="004E0C41">
              <w:rPr>
                <w:rFonts w:ascii="Century Gothic" w:hAnsi="Century Gothic"/>
                <w:b/>
                <w:bCs/>
                <w:sz w:val="21"/>
                <w:szCs w:val="21"/>
              </w:rPr>
              <w:t>Appui au mécanisme transfrontalier</w:t>
            </w:r>
            <w:r w:rsidRPr="004E0C41">
              <w:rPr>
                <w:rFonts w:ascii="Century Gothic" w:hAnsi="Century Gothic"/>
                <w:bCs/>
                <w:sz w:val="21"/>
                <w:szCs w:val="21"/>
              </w:rPr>
              <w:t xml:space="preserve"> gestion intégrée concertée (connaissance ; suivi ; protection contre le </w:t>
            </w:r>
            <w:r w:rsidRPr="004E0C41">
              <w:rPr>
                <w:rFonts w:ascii="Century Gothic" w:hAnsi="Century Gothic"/>
                <w:bCs/>
                <w:sz w:val="21"/>
                <w:szCs w:val="21"/>
              </w:rPr>
              <w:lastRenderedPageBreak/>
              <w:t xml:space="preserve">braconnage et les pénuries d’eau, veille sanitaire…) de la faune  sauvage du parc W </w:t>
            </w:r>
          </w:p>
          <w:p w:rsidR="00EB7AA0" w:rsidRPr="00D934D1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D934D1">
              <w:rPr>
                <w:rFonts w:ascii="Century Gothic" w:hAnsi="Century Gothic"/>
                <w:b/>
                <w:bCs/>
                <w:sz w:val="21"/>
                <w:szCs w:val="21"/>
              </w:rPr>
              <w:t>Mécanisme</w:t>
            </w:r>
            <w:r w:rsidRPr="00D934D1">
              <w:rPr>
                <w:rFonts w:ascii="Century Gothic" w:hAnsi="Century Gothic"/>
                <w:sz w:val="21"/>
                <w:szCs w:val="21"/>
              </w:rPr>
              <w:t xml:space="preserve"> commun d’échanges d’expériences et de promotion des bonnes pratiques d’adaptation au changement climatique </w:t>
            </w:r>
          </w:p>
          <w:p w:rsidR="00EB7AA0" w:rsidRPr="00D934D1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64383">
              <w:rPr>
                <w:rFonts w:ascii="Century Gothic" w:hAnsi="Century Gothic"/>
                <w:b/>
                <w:bCs/>
                <w:sz w:val="21"/>
                <w:szCs w:val="21"/>
              </w:rPr>
              <w:t>Appui</w:t>
            </w:r>
            <w:r w:rsidRPr="00F64383">
              <w:rPr>
                <w:rFonts w:ascii="Century Gothic" w:hAnsi="Century Gothic"/>
                <w:sz w:val="21"/>
                <w:szCs w:val="21"/>
              </w:rPr>
              <w:t xml:space="preserve"> aux programmes nationaux de restauration et de protection des écosystèmes forestiers et aquatiques sacrés de la zone du bassin (mares, bois, animaux…)</w:t>
            </w:r>
          </w:p>
          <w:p w:rsidR="00EB7AA0" w:rsidRPr="004E0C41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E0C41">
              <w:rPr>
                <w:rFonts w:ascii="Century Gothic" w:hAnsi="Century Gothic"/>
                <w:b/>
                <w:sz w:val="21"/>
                <w:szCs w:val="21"/>
              </w:rPr>
              <w:t>Améliorer l’attraction du parc W (consolidation des</w:t>
            </w:r>
            <w:r w:rsidRPr="004E0C41">
              <w:rPr>
                <w:rFonts w:ascii="Century Gothic" w:hAnsi="Century Gothic"/>
                <w:sz w:val="21"/>
                <w:szCs w:val="21"/>
              </w:rPr>
              <w:t xml:space="preserve"> infrastructures touristiques ; désenclavement…)</w:t>
            </w:r>
          </w:p>
          <w:p w:rsidR="00EB7AA0" w:rsidRPr="00D934D1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:rsidR="00EB7AA0" w:rsidRPr="00E503CC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E503CC">
              <w:rPr>
                <w:rFonts w:ascii="Century Gothic" w:hAnsi="Century Gothic"/>
                <w:sz w:val="21"/>
                <w:szCs w:val="21"/>
                <w:u w:val="single"/>
              </w:rPr>
              <w:t>Objectifs de croissance (2025) :</w:t>
            </w:r>
            <w:r w:rsidRPr="00E503C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EB7AA0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64383">
              <w:rPr>
                <w:rFonts w:ascii="Century Gothic" w:hAnsi="Century Gothic"/>
                <w:b/>
                <w:sz w:val="21"/>
                <w:szCs w:val="21"/>
              </w:rPr>
              <w:t>Seuils de régulation et de dérivation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des eaux de la Mékrou dans le Parc W afin d’assurer la pérennité de l’eau dans les affluents situés dans le parc W</w:t>
            </w:r>
          </w:p>
          <w:p w:rsidR="00EB7AA0" w:rsidRPr="00F64383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257F48">
              <w:rPr>
                <w:rFonts w:ascii="Century Gothic" w:hAnsi="Century Gothic"/>
                <w:b/>
                <w:sz w:val="21"/>
                <w:szCs w:val="21"/>
              </w:rPr>
              <w:t>Restauration de tous les continuums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écologiques dégradés, des zones sacrées, des écosystèmes aquatiques et forestiers dégradés…</w:t>
            </w:r>
          </w:p>
          <w:p w:rsidR="00EB7AA0" w:rsidRPr="006E443E" w:rsidRDefault="00EB7AA0" w:rsidP="005D3BBD">
            <w:pPr>
              <w:jc w:val="both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</w:tr>
    </w:tbl>
    <w:p w:rsidR="00205C2F" w:rsidRDefault="00205C2F"/>
    <w:p w:rsidR="00EB7AA0" w:rsidRDefault="00EB7AA0"/>
    <w:p w:rsidR="00EB7AA0" w:rsidRDefault="00EB7AA0"/>
    <w:sectPr w:rsidR="00EB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5B10"/>
    <w:multiLevelType w:val="hybridMultilevel"/>
    <w:tmpl w:val="608EC04E"/>
    <w:lvl w:ilvl="0" w:tplc="29A4B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060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1C92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DC9E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34D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86E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6C27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4E0E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A8BA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5A6779DC"/>
    <w:multiLevelType w:val="hybridMultilevel"/>
    <w:tmpl w:val="75B638DA"/>
    <w:lvl w:ilvl="0" w:tplc="52CE2C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914CADF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0"/>
    <w:rsid w:val="00205C2F"/>
    <w:rsid w:val="00E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8130-C42C-4F27-BFCA-731353C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- List tir,liste 1,puce 1,Paragraphe de liste1,figure,Glossaire,liste de tableaux,Titre1,List Paragraph,List Paragraph1,Bullets,Liste 1,Numbered List Paragraph,ReferencesCxSpLast,List Paragraph (numbered (a)),Yalgo corps"/>
    <w:basedOn w:val="Normal"/>
    <w:link w:val="ParagraphedelisteCar"/>
    <w:uiPriority w:val="34"/>
    <w:qFormat/>
    <w:rsid w:val="00EB7A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References Car,- List tir Car,liste 1 Car,puce 1 Car,Paragraphe de liste1 Car,figure Car,Glossaire Car,liste de tableaux Car,Titre1 Car,List Paragraph Car,List Paragraph1 Car,Bullets Car,Liste 1 Car,Numbered List Paragraph Car"/>
    <w:link w:val="Paragraphedeliste"/>
    <w:uiPriority w:val="34"/>
    <w:locked/>
    <w:rsid w:val="00EB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2017-06-21T07:13:00Z</dcterms:created>
  <dcterms:modified xsi:type="dcterms:W3CDTF">2017-06-21T07:17:00Z</dcterms:modified>
</cp:coreProperties>
</file>