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538" w:rsidRDefault="00ED2161" w:rsidP="00E442DC">
      <w:pPr>
        <w:pStyle w:val="Ttulo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Description of available </w:t>
      </w:r>
      <w:r w:rsidR="00B96351">
        <w:rPr>
          <w:sz w:val="28"/>
          <w:szCs w:val="28"/>
          <w:lang w:val="en-US"/>
        </w:rPr>
        <w:t xml:space="preserve">QUANTITATIVE </w:t>
      </w:r>
      <w:r>
        <w:rPr>
          <w:sz w:val="28"/>
          <w:szCs w:val="28"/>
          <w:lang w:val="en-US"/>
        </w:rPr>
        <w:t>information for each Case Study river Basin (</w:t>
      </w:r>
      <w:r w:rsidR="00E442DC" w:rsidRPr="00E442DC">
        <w:rPr>
          <w:sz w:val="28"/>
          <w:szCs w:val="28"/>
          <w:lang w:val="en-US"/>
        </w:rPr>
        <w:t>CSRB</w:t>
      </w:r>
      <w:r>
        <w:rPr>
          <w:sz w:val="28"/>
          <w:szCs w:val="28"/>
          <w:lang w:val="en-US"/>
        </w:rPr>
        <w:t>)</w:t>
      </w:r>
    </w:p>
    <w:tbl>
      <w:tblPr>
        <w:tblStyle w:val="Tablaconcuadrcula"/>
        <w:tblW w:w="4990" w:type="pct"/>
        <w:tblLayout w:type="fixed"/>
        <w:tblLook w:val="04A0"/>
      </w:tblPr>
      <w:tblGrid>
        <w:gridCol w:w="5353"/>
        <w:gridCol w:w="1844"/>
        <w:gridCol w:w="568"/>
        <w:gridCol w:w="849"/>
        <w:gridCol w:w="710"/>
        <w:gridCol w:w="565"/>
        <w:gridCol w:w="3261"/>
      </w:tblGrid>
      <w:tr w:rsidR="004E4B18" w:rsidTr="00BE6C6F">
        <w:trPr>
          <w:cantSplit/>
          <w:tblHeader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4E4B18" w:rsidRPr="00E37F64" w:rsidRDefault="004E4B18" w:rsidP="00573A09">
            <w:pPr>
              <w:jc w:val="left"/>
              <w:rPr>
                <w:sz w:val="32"/>
                <w:szCs w:val="32"/>
                <w:lang w:val="en-US"/>
              </w:rPr>
            </w:pPr>
            <w:r w:rsidRPr="00E37F64">
              <w:rPr>
                <w:sz w:val="32"/>
                <w:szCs w:val="32"/>
                <w:lang w:val="en-US"/>
              </w:rPr>
              <w:t xml:space="preserve">QUANTITATIVE </w:t>
            </w:r>
            <w:r>
              <w:rPr>
                <w:sz w:val="32"/>
                <w:szCs w:val="32"/>
                <w:lang w:val="en-US"/>
              </w:rPr>
              <w:t xml:space="preserve">data on the </w:t>
            </w:r>
            <w:r w:rsidR="00573A09">
              <w:rPr>
                <w:sz w:val="32"/>
                <w:szCs w:val="32"/>
                <w:lang w:val="en-US"/>
              </w:rPr>
              <w:t xml:space="preserve">FUTURE </w:t>
            </w:r>
            <w:r>
              <w:rPr>
                <w:sz w:val="32"/>
                <w:szCs w:val="32"/>
                <w:lang w:val="en-US"/>
              </w:rPr>
              <w:t>situation</w:t>
            </w:r>
          </w:p>
        </w:tc>
      </w:tr>
      <w:tr w:rsidR="004E4B18" w:rsidTr="00BE6C6F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4B18" w:rsidRPr="007E4ABF" w:rsidRDefault="00E80339" w:rsidP="004D76FC">
            <w:pPr>
              <w:jc w:val="left"/>
              <w:rPr>
                <w:sz w:val="20"/>
                <w:szCs w:val="20"/>
                <w:lang w:val="en-US"/>
              </w:rPr>
            </w:pPr>
            <w:r w:rsidRPr="00E80339">
              <w:rPr>
                <w:b/>
                <w:sz w:val="20"/>
                <w:szCs w:val="20"/>
                <w:lang w:val="en-US"/>
              </w:rPr>
              <w:t>WATER</w:t>
            </w:r>
            <w:r w:rsidR="004D76FC">
              <w:rPr>
                <w:b/>
                <w:sz w:val="20"/>
                <w:szCs w:val="20"/>
                <w:lang w:val="en-US"/>
              </w:rPr>
              <w:t xml:space="preserve"> AVAILABILITY</w:t>
            </w:r>
            <w:r w:rsidR="004E4B18">
              <w:rPr>
                <w:sz w:val="20"/>
                <w:szCs w:val="20"/>
                <w:lang w:val="en-US"/>
              </w:rPr>
              <w:t xml:space="preserve">: do you have </w:t>
            </w:r>
            <w:r w:rsidR="00573A09">
              <w:rPr>
                <w:sz w:val="20"/>
                <w:szCs w:val="20"/>
                <w:lang w:val="en-US"/>
              </w:rPr>
              <w:t xml:space="preserve">information </w:t>
            </w:r>
            <w:r w:rsidR="004E4B18">
              <w:rPr>
                <w:sz w:val="20"/>
                <w:szCs w:val="20"/>
                <w:lang w:val="en-US"/>
              </w:rPr>
              <w:t xml:space="preserve">on </w:t>
            </w:r>
            <w:r w:rsidR="00573A09">
              <w:rPr>
                <w:sz w:val="20"/>
                <w:szCs w:val="20"/>
                <w:lang w:val="en-US"/>
              </w:rPr>
              <w:t xml:space="preserve">projections of future </w:t>
            </w:r>
            <w:r w:rsidR="004E4B18">
              <w:rPr>
                <w:sz w:val="20"/>
                <w:szCs w:val="20"/>
                <w:lang w:val="en-US"/>
              </w:rPr>
              <w:t xml:space="preserve">stream flow? </w:t>
            </w:r>
            <w:r w:rsidR="004D76FC">
              <w:rPr>
                <w:sz w:val="20"/>
                <w:szCs w:val="20"/>
                <w:lang w:val="en-US"/>
              </w:rPr>
              <w:t xml:space="preserve">Is there any projection on future groundwater levels? Is there any projection on future water balances? </w:t>
            </w:r>
          </w:p>
        </w:tc>
      </w:tr>
      <w:tr w:rsidR="001056D5" w:rsidTr="00CB579B">
        <w:trPr>
          <w:cantSplit/>
        </w:trPr>
        <w:tc>
          <w:tcPr>
            <w:tcW w:w="2035" w:type="pct"/>
            <w:shd w:val="clear" w:color="auto" w:fill="D9D9D9" w:themeFill="background1" w:themeFillShade="D9"/>
            <w:vAlign w:val="center"/>
          </w:tcPr>
          <w:p w:rsidR="001056D5" w:rsidRPr="007E4ABF" w:rsidRDefault="001056D5" w:rsidP="007F496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 of available data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:rsidR="001056D5" w:rsidRPr="007E4ABF" w:rsidRDefault="001056D5" w:rsidP="007F496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Spatial resolution</w:t>
            </w:r>
          </w:p>
        </w:tc>
        <w:tc>
          <w:tcPr>
            <w:tcW w:w="539" w:type="pct"/>
            <w:gridSpan w:val="2"/>
            <w:shd w:val="clear" w:color="auto" w:fill="D9D9D9" w:themeFill="background1" w:themeFillShade="D9"/>
            <w:vAlign w:val="center"/>
          </w:tcPr>
          <w:p w:rsidR="001056D5" w:rsidRPr="007E4ABF" w:rsidRDefault="001056D5" w:rsidP="007F496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 frame/scale</w:t>
            </w:r>
          </w:p>
        </w:tc>
        <w:tc>
          <w:tcPr>
            <w:tcW w:w="485" w:type="pct"/>
            <w:gridSpan w:val="2"/>
            <w:shd w:val="clear" w:color="auto" w:fill="D9D9D9" w:themeFill="background1" w:themeFillShade="D9"/>
            <w:vAlign w:val="center"/>
          </w:tcPr>
          <w:p w:rsidR="001056D5" w:rsidRPr="007E4ABF" w:rsidRDefault="001056D5" w:rsidP="007F496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 of the data</w:t>
            </w:r>
          </w:p>
        </w:tc>
        <w:tc>
          <w:tcPr>
            <w:tcW w:w="1240" w:type="pct"/>
            <w:shd w:val="clear" w:color="auto" w:fill="D9D9D9" w:themeFill="background1" w:themeFillShade="D9"/>
            <w:vAlign w:val="center"/>
          </w:tcPr>
          <w:p w:rsidR="001056D5" w:rsidRPr="007E4ABF" w:rsidRDefault="001056D5" w:rsidP="007F496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Reference/source of information</w:t>
            </w:r>
          </w:p>
        </w:tc>
      </w:tr>
      <w:tr w:rsidR="001056D5" w:rsidTr="00CB579B">
        <w:trPr>
          <w:cantSplit/>
          <w:trHeight w:val="674"/>
        </w:trPr>
        <w:tc>
          <w:tcPr>
            <w:tcW w:w="2035" w:type="pct"/>
            <w:tcBorders>
              <w:bottom w:val="single" w:sz="4" w:space="0" w:color="auto"/>
            </w:tcBorders>
            <w:vAlign w:val="center"/>
          </w:tcPr>
          <w:p w:rsidR="001056D5" w:rsidRPr="007E4ABF" w:rsidRDefault="00A00FCB" w:rsidP="00154983">
            <w:pPr>
              <w:jc w:val="left"/>
              <w:rPr>
                <w:sz w:val="20"/>
                <w:szCs w:val="20"/>
                <w:lang w:val="en-US"/>
              </w:rPr>
            </w:pPr>
            <w:r w:rsidRPr="00D5111D">
              <w:rPr>
                <w:color w:val="4F81BD" w:themeColor="accent1"/>
                <w:sz w:val="20"/>
                <w:szCs w:val="20"/>
                <w:lang w:val="en-US"/>
              </w:rPr>
              <w:t xml:space="preserve">estimation of the </w:t>
            </w:r>
            <w:r w:rsidR="00D5111D">
              <w:rPr>
                <w:color w:val="4F81BD" w:themeColor="accent1"/>
                <w:sz w:val="20"/>
                <w:szCs w:val="20"/>
                <w:lang w:val="en-US"/>
              </w:rPr>
              <w:t xml:space="preserve">stream </w:t>
            </w:r>
            <w:r w:rsidRPr="00D5111D">
              <w:rPr>
                <w:color w:val="4F81BD" w:themeColor="accent1"/>
                <w:sz w:val="20"/>
                <w:szCs w:val="20"/>
                <w:lang w:val="en-US"/>
              </w:rPr>
              <w:t>flow</w:t>
            </w:r>
            <w:r w:rsidR="00D5111D">
              <w:rPr>
                <w:color w:val="4F81BD" w:themeColor="accent1"/>
                <w:sz w:val="20"/>
                <w:szCs w:val="20"/>
                <w:lang w:val="en-US"/>
              </w:rPr>
              <w:t xml:space="preserve"> and groundwater level</w:t>
            </w:r>
            <w:r w:rsidRPr="00D5111D">
              <w:rPr>
                <w:color w:val="4F81BD" w:themeColor="accent1"/>
                <w:sz w:val="20"/>
                <w:szCs w:val="20"/>
                <w:lang w:val="en-US"/>
              </w:rPr>
              <w:t xml:space="preserve"> changes 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1056D5" w:rsidRPr="00D5111D" w:rsidRDefault="007C2417" w:rsidP="007F4964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Whole country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1056D5" w:rsidRPr="00D5111D" w:rsidRDefault="00D5111D" w:rsidP="007F4964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D5111D">
              <w:rPr>
                <w:color w:val="4F81BD" w:themeColor="accent1"/>
                <w:sz w:val="20"/>
                <w:szCs w:val="20"/>
                <w:lang w:val="en-US"/>
              </w:rPr>
              <w:t>/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1056D5" w:rsidRPr="007E4ABF" w:rsidRDefault="00D5111D" w:rsidP="007F4964">
            <w:pPr>
              <w:jc w:val="left"/>
              <w:rPr>
                <w:sz w:val="20"/>
                <w:szCs w:val="20"/>
                <w:lang w:val="en-US"/>
              </w:rPr>
            </w:pPr>
            <w:r w:rsidRPr="007C2AA8">
              <w:rPr>
                <w:color w:val="4F81BD" w:themeColor="accent1"/>
                <w:sz w:val="20"/>
                <w:szCs w:val="20"/>
                <w:lang w:val="en-US"/>
              </w:rPr>
              <w:t>doc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>, …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FC0198" w:rsidRPr="007E4ABF" w:rsidRDefault="00FC0198" w:rsidP="007F4964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Slovenian environment agency</w:t>
            </w:r>
          </w:p>
        </w:tc>
      </w:tr>
      <w:tr w:rsidR="004E4B18" w:rsidTr="00542030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4B18" w:rsidRPr="007E4ABF" w:rsidRDefault="00E80339" w:rsidP="002339AD">
            <w:pPr>
              <w:jc w:val="left"/>
              <w:rPr>
                <w:sz w:val="20"/>
                <w:szCs w:val="20"/>
                <w:lang w:val="en-US"/>
              </w:rPr>
            </w:pPr>
            <w:r w:rsidRPr="00E80339">
              <w:rPr>
                <w:b/>
                <w:sz w:val="20"/>
                <w:szCs w:val="20"/>
                <w:lang w:val="en-US"/>
              </w:rPr>
              <w:t>CLIMATE DATA</w:t>
            </w:r>
            <w:r w:rsidR="004E4B18">
              <w:rPr>
                <w:sz w:val="20"/>
                <w:szCs w:val="20"/>
                <w:lang w:val="en-US"/>
              </w:rPr>
              <w:t xml:space="preserve">: </w:t>
            </w:r>
            <w:r w:rsidR="002339AD">
              <w:rPr>
                <w:sz w:val="20"/>
                <w:szCs w:val="20"/>
                <w:lang w:val="en-US"/>
              </w:rPr>
              <w:t xml:space="preserve">Are </w:t>
            </w:r>
            <w:r w:rsidR="00BE6C6F">
              <w:rPr>
                <w:sz w:val="20"/>
                <w:szCs w:val="20"/>
                <w:lang w:val="en-US"/>
              </w:rPr>
              <w:t>there any</w:t>
            </w:r>
            <w:r w:rsidR="004E4B18">
              <w:rPr>
                <w:sz w:val="20"/>
                <w:szCs w:val="20"/>
                <w:lang w:val="en-US"/>
              </w:rPr>
              <w:t xml:space="preserve"> </w:t>
            </w:r>
            <w:r w:rsidR="00181094">
              <w:rPr>
                <w:sz w:val="20"/>
                <w:szCs w:val="20"/>
                <w:lang w:val="en-US"/>
              </w:rPr>
              <w:t xml:space="preserve">projections </w:t>
            </w:r>
            <w:r w:rsidR="00BE6C6F">
              <w:rPr>
                <w:sz w:val="20"/>
                <w:szCs w:val="20"/>
                <w:lang w:val="en-US"/>
              </w:rPr>
              <w:t xml:space="preserve">available </w:t>
            </w:r>
            <w:r w:rsidR="00573A09">
              <w:rPr>
                <w:sz w:val="20"/>
                <w:szCs w:val="20"/>
                <w:lang w:val="en-US"/>
              </w:rPr>
              <w:t>on future</w:t>
            </w:r>
            <w:r w:rsidR="00181094">
              <w:rPr>
                <w:sz w:val="20"/>
                <w:szCs w:val="20"/>
                <w:lang w:val="en-US"/>
              </w:rPr>
              <w:t xml:space="preserve"> climate</w:t>
            </w:r>
            <w:r w:rsidR="004E4B18">
              <w:rPr>
                <w:sz w:val="20"/>
                <w:szCs w:val="20"/>
                <w:lang w:val="en-US"/>
              </w:rPr>
              <w:t>?</w:t>
            </w:r>
          </w:p>
        </w:tc>
      </w:tr>
      <w:tr w:rsidR="0037450E" w:rsidTr="00CB579B">
        <w:trPr>
          <w:cantSplit/>
        </w:trPr>
        <w:tc>
          <w:tcPr>
            <w:tcW w:w="2035" w:type="pct"/>
            <w:shd w:val="clear" w:color="auto" w:fill="D9D9D9" w:themeFill="background1" w:themeFillShade="D9"/>
            <w:vAlign w:val="center"/>
          </w:tcPr>
          <w:p w:rsidR="0037450E" w:rsidRPr="007E4ABF" w:rsidRDefault="0037450E" w:rsidP="0037450E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 of available data</w:t>
            </w:r>
          </w:p>
        </w:tc>
        <w:tc>
          <w:tcPr>
            <w:tcW w:w="701" w:type="pct"/>
            <w:shd w:val="clear" w:color="auto" w:fill="D9D9D9" w:themeFill="background1" w:themeFillShade="D9"/>
            <w:vAlign w:val="center"/>
          </w:tcPr>
          <w:p w:rsidR="0037450E" w:rsidRPr="007E4ABF" w:rsidRDefault="0037450E" w:rsidP="0037450E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Spatial resolution</w:t>
            </w:r>
          </w:p>
        </w:tc>
        <w:tc>
          <w:tcPr>
            <w:tcW w:w="539" w:type="pct"/>
            <w:gridSpan w:val="2"/>
            <w:shd w:val="clear" w:color="auto" w:fill="D9D9D9" w:themeFill="background1" w:themeFillShade="D9"/>
            <w:vAlign w:val="center"/>
          </w:tcPr>
          <w:p w:rsidR="0037450E" w:rsidRPr="007E4ABF" w:rsidRDefault="001056D5" w:rsidP="0037450E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Time frame/scale</w:t>
            </w:r>
          </w:p>
        </w:tc>
        <w:tc>
          <w:tcPr>
            <w:tcW w:w="485" w:type="pct"/>
            <w:gridSpan w:val="2"/>
            <w:shd w:val="clear" w:color="auto" w:fill="D9D9D9" w:themeFill="background1" w:themeFillShade="D9"/>
            <w:vAlign w:val="center"/>
          </w:tcPr>
          <w:p w:rsidR="0037450E" w:rsidRPr="007E4ABF" w:rsidRDefault="0037450E" w:rsidP="0037450E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 of the data</w:t>
            </w:r>
          </w:p>
        </w:tc>
        <w:tc>
          <w:tcPr>
            <w:tcW w:w="1240" w:type="pct"/>
            <w:shd w:val="clear" w:color="auto" w:fill="D9D9D9" w:themeFill="background1" w:themeFillShade="D9"/>
            <w:vAlign w:val="center"/>
          </w:tcPr>
          <w:p w:rsidR="0037450E" w:rsidRPr="007E4ABF" w:rsidRDefault="0037450E" w:rsidP="0037450E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Reference/source of information</w:t>
            </w:r>
          </w:p>
        </w:tc>
      </w:tr>
      <w:tr w:rsidR="0037450E" w:rsidTr="00CB579B">
        <w:trPr>
          <w:cantSplit/>
          <w:trHeight w:val="666"/>
        </w:trPr>
        <w:tc>
          <w:tcPr>
            <w:tcW w:w="2035" w:type="pct"/>
            <w:tcBorders>
              <w:bottom w:val="single" w:sz="4" w:space="0" w:color="auto"/>
            </w:tcBorders>
            <w:vAlign w:val="center"/>
          </w:tcPr>
          <w:p w:rsidR="007C2AA8" w:rsidRDefault="007C2AA8" w:rsidP="0037450E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Temperature change</w:t>
            </w:r>
          </w:p>
          <w:p w:rsidR="0037450E" w:rsidRPr="007E4ABF" w:rsidRDefault="007C2AA8" w:rsidP="0037450E">
            <w:pPr>
              <w:jc w:val="left"/>
              <w:rPr>
                <w:sz w:val="20"/>
                <w:szCs w:val="20"/>
                <w:lang w:val="en-US"/>
              </w:rPr>
            </w:pPr>
            <w:r w:rsidRPr="007C2AA8">
              <w:rPr>
                <w:color w:val="4F81BD" w:themeColor="accent1"/>
                <w:sz w:val="20"/>
                <w:szCs w:val="20"/>
                <w:lang w:val="en-US"/>
              </w:rPr>
              <w:t>precipitation change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vAlign w:val="center"/>
          </w:tcPr>
          <w:p w:rsidR="0037450E" w:rsidRPr="007C2AA8" w:rsidRDefault="00122F4A" w:rsidP="0037450E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Whole country</w:t>
            </w:r>
          </w:p>
        </w:tc>
        <w:tc>
          <w:tcPr>
            <w:tcW w:w="539" w:type="pct"/>
            <w:gridSpan w:val="2"/>
            <w:tcBorders>
              <w:bottom w:val="single" w:sz="4" w:space="0" w:color="auto"/>
            </w:tcBorders>
            <w:vAlign w:val="center"/>
          </w:tcPr>
          <w:p w:rsidR="007C2AA8" w:rsidRDefault="007C2AA8" w:rsidP="0037450E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7C2AA8">
              <w:rPr>
                <w:color w:val="4F81BD" w:themeColor="accent1"/>
                <w:sz w:val="20"/>
                <w:szCs w:val="20"/>
                <w:lang w:val="en-US"/>
              </w:rPr>
              <w:t xml:space="preserve">2011–2030, </w:t>
            </w:r>
          </w:p>
          <w:p w:rsidR="007C2AA8" w:rsidRDefault="007C2AA8" w:rsidP="007C2AA8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2046–2065</w:t>
            </w:r>
          </w:p>
          <w:p w:rsidR="0037450E" w:rsidRDefault="007C2AA8" w:rsidP="007C2AA8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7C2AA8">
              <w:rPr>
                <w:color w:val="4F81BD" w:themeColor="accent1"/>
                <w:sz w:val="20"/>
                <w:szCs w:val="20"/>
                <w:lang w:val="en-US"/>
              </w:rPr>
              <w:t>2080–209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>9</w:t>
            </w:r>
          </w:p>
          <w:p w:rsidR="008941B3" w:rsidRPr="007C2AA8" w:rsidRDefault="008941B3" w:rsidP="007C2AA8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2071-2100</w:t>
            </w:r>
          </w:p>
        </w:tc>
        <w:tc>
          <w:tcPr>
            <w:tcW w:w="485" w:type="pct"/>
            <w:gridSpan w:val="2"/>
            <w:tcBorders>
              <w:bottom w:val="single" w:sz="4" w:space="0" w:color="auto"/>
            </w:tcBorders>
            <w:vAlign w:val="center"/>
          </w:tcPr>
          <w:p w:rsidR="0037450E" w:rsidRPr="007E4ABF" w:rsidRDefault="007C2AA8" w:rsidP="0037450E">
            <w:pPr>
              <w:jc w:val="left"/>
              <w:rPr>
                <w:sz w:val="20"/>
                <w:szCs w:val="20"/>
                <w:lang w:val="en-US"/>
              </w:rPr>
            </w:pPr>
            <w:r w:rsidRPr="007C2AA8">
              <w:rPr>
                <w:color w:val="4F81BD" w:themeColor="accent1"/>
                <w:sz w:val="20"/>
                <w:szCs w:val="20"/>
                <w:lang w:val="en-US"/>
              </w:rPr>
              <w:t>doc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>,</w:t>
            </w:r>
            <w:r w:rsidR="008941B3">
              <w:rPr>
                <w:color w:val="4F81BD" w:themeColor="accent1"/>
                <w:sz w:val="20"/>
                <w:szCs w:val="20"/>
                <w:lang w:val="en-US"/>
              </w:rPr>
              <w:t xml:space="preserve"> pdf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1240" w:type="pct"/>
            <w:tcBorders>
              <w:bottom w:val="single" w:sz="4" w:space="0" w:color="auto"/>
            </w:tcBorders>
            <w:vAlign w:val="center"/>
          </w:tcPr>
          <w:p w:rsidR="008941B3" w:rsidRDefault="007C2AA8" w:rsidP="0037450E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Slovenian environment</w:t>
            </w:r>
            <w:r w:rsidR="00FC0198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>agency</w:t>
            </w:r>
            <w:r w:rsidR="008941B3">
              <w:rPr>
                <w:color w:val="4F81BD" w:themeColor="accent1"/>
                <w:sz w:val="20"/>
                <w:szCs w:val="20"/>
                <w:lang w:val="en-US"/>
              </w:rPr>
              <w:t>;</w:t>
            </w:r>
          </w:p>
          <w:p w:rsidR="008941B3" w:rsidRPr="008941B3" w:rsidRDefault="008941B3" w:rsidP="008941B3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Scenario used in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adaptation strategy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of agriculture and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forestry (Ministry for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Environment and Spatial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Planning 2008) (2)</w:t>
            </w:r>
          </w:p>
          <w:p w:rsidR="008941B3" w:rsidRDefault="008941B3" w:rsidP="00CB579B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Basis: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8941B3">
              <w:rPr>
                <w:color w:val="4F81BD" w:themeColor="accent1"/>
                <w:sz w:val="20"/>
                <w:szCs w:val="20"/>
                <w:lang w:val="en-US"/>
              </w:rPr>
              <w:t>EU project PRUDENCE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 xml:space="preserve"> (emissions scenarions used A2)</w:t>
            </w:r>
          </w:p>
          <w:p w:rsidR="00CB579B" w:rsidRDefault="00CB579B" w:rsidP="00CB579B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</w:p>
          <w:p w:rsidR="00CB579B" w:rsidRDefault="00CB579B" w:rsidP="00CB579B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</w:p>
          <w:p w:rsidR="00CB579B" w:rsidRPr="007E4ABF" w:rsidRDefault="00CB579B" w:rsidP="00CB579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</w:p>
        </w:tc>
      </w:tr>
      <w:tr w:rsidR="004E4B18" w:rsidTr="00542030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E4B18" w:rsidRPr="007E4ABF" w:rsidRDefault="00E80339" w:rsidP="002339AD">
            <w:pPr>
              <w:jc w:val="left"/>
              <w:rPr>
                <w:sz w:val="20"/>
                <w:szCs w:val="20"/>
                <w:lang w:val="en-US"/>
              </w:rPr>
            </w:pPr>
            <w:r w:rsidRPr="00E80339">
              <w:rPr>
                <w:b/>
                <w:sz w:val="20"/>
                <w:szCs w:val="20"/>
                <w:lang w:val="en-US"/>
              </w:rPr>
              <w:t>FUTURE LAND USES- AGRICULTURE:</w:t>
            </w:r>
            <w:r w:rsidR="004E4B18">
              <w:rPr>
                <w:sz w:val="20"/>
                <w:szCs w:val="20"/>
                <w:lang w:val="en-US"/>
              </w:rPr>
              <w:t xml:space="preserve"> </w:t>
            </w:r>
            <w:r w:rsidR="002339AD">
              <w:rPr>
                <w:sz w:val="20"/>
                <w:szCs w:val="20"/>
                <w:lang w:val="en-US"/>
              </w:rPr>
              <w:t>Are there any projections on</w:t>
            </w:r>
            <w:r w:rsidR="000855B5">
              <w:rPr>
                <w:sz w:val="20"/>
                <w:szCs w:val="20"/>
                <w:lang w:val="en-US"/>
              </w:rPr>
              <w:t xml:space="preserve"> future </w:t>
            </w:r>
            <w:r w:rsidR="00BE6C6F">
              <w:rPr>
                <w:sz w:val="20"/>
                <w:szCs w:val="20"/>
                <w:lang w:val="en-US"/>
              </w:rPr>
              <w:t xml:space="preserve">land use scenarios </w:t>
            </w:r>
            <w:r w:rsidR="002339AD">
              <w:rPr>
                <w:sz w:val="20"/>
                <w:szCs w:val="20"/>
                <w:lang w:val="en-US"/>
              </w:rPr>
              <w:t>for</w:t>
            </w:r>
            <w:r w:rsidR="00BE6C6F">
              <w:rPr>
                <w:sz w:val="20"/>
                <w:szCs w:val="20"/>
                <w:lang w:val="en-US"/>
              </w:rPr>
              <w:t xml:space="preserve"> agricultural </w:t>
            </w:r>
            <w:r w:rsidR="000855B5">
              <w:rPr>
                <w:sz w:val="20"/>
                <w:szCs w:val="20"/>
                <w:lang w:val="en-US"/>
              </w:rPr>
              <w:t>land use?</w:t>
            </w:r>
            <w:r w:rsidR="00182ECF">
              <w:rPr>
                <w:sz w:val="20"/>
                <w:szCs w:val="20"/>
                <w:lang w:val="en-US"/>
              </w:rPr>
              <w:t xml:space="preserve"> Are there any projections on the future development of the agricultural sector and its likely contribution to the basin GDP?</w:t>
            </w:r>
          </w:p>
        </w:tc>
      </w:tr>
      <w:tr w:rsidR="00542030" w:rsidTr="00CB579B">
        <w:trPr>
          <w:cantSplit/>
        </w:trPr>
        <w:tc>
          <w:tcPr>
            <w:tcW w:w="2035" w:type="pct"/>
            <w:shd w:val="clear" w:color="auto" w:fill="D9D9D9" w:themeFill="background1" w:themeFillShade="D9"/>
            <w:vAlign w:val="center"/>
          </w:tcPr>
          <w:p w:rsidR="00542030" w:rsidRPr="007E4ABF" w:rsidRDefault="00542030" w:rsidP="00C225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 of available data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2A2CA9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Spatial resolution</w:t>
            </w:r>
          </w:p>
        </w:tc>
        <w:tc>
          <w:tcPr>
            <w:tcW w:w="593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2A2CA9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 of the data</w:t>
            </w:r>
          </w:p>
        </w:tc>
        <w:tc>
          <w:tcPr>
            <w:tcW w:w="1455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C225C7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Reference/source of information</w:t>
            </w:r>
          </w:p>
        </w:tc>
      </w:tr>
      <w:tr w:rsidR="00542030" w:rsidTr="00CB579B">
        <w:trPr>
          <w:cantSplit/>
          <w:trHeight w:val="704"/>
        </w:trPr>
        <w:tc>
          <w:tcPr>
            <w:tcW w:w="2035" w:type="pct"/>
            <w:vAlign w:val="center"/>
          </w:tcPr>
          <w:p w:rsidR="00542030" w:rsidRPr="00D25855" w:rsidRDefault="00D25855" w:rsidP="00A35739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D925C0">
              <w:rPr>
                <w:color w:val="4F81BD" w:themeColor="accent1"/>
                <w:sz w:val="20"/>
                <w:szCs w:val="20"/>
                <w:lang w:val="en-US"/>
              </w:rPr>
              <w:t xml:space="preserve">Predictions </w:t>
            </w:r>
            <w:r w:rsidR="00A35739" w:rsidRPr="00D925C0">
              <w:rPr>
                <w:color w:val="4F81BD" w:themeColor="accent1"/>
                <w:sz w:val="20"/>
                <w:szCs w:val="20"/>
                <w:lang w:val="en-US"/>
              </w:rPr>
              <w:t>on water availability</w:t>
            </w:r>
            <w:r w:rsidR="00CB13E7">
              <w:rPr>
                <w:color w:val="4F81BD" w:themeColor="accent1"/>
                <w:sz w:val="20"/>
                <w:szCs w:val="20"/>
                <w:lang w:val="en-US"/>
              </w:rPr>
              <w:t>, assessment of vulnerability, prediction on adaptation strategy</w:t>
            </w:r>
          </w:p>
        </w:tc>
        <w:tc>
          <w:tcPr>
            <w:tcW w:w="917" w:type="pct"/>
            <w:gridSpan w:val="2"/>
            <w:vAlign w:val="center"/>
          </w:tcPr>
          <w:p w:rsidR="00542030" w:rsidRPr="009F3961" w:rsidRDefault="00122F4A" w:rsidP="0037450E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Whole country</w:t>
            </w:r>
          </w:p>
        </w:tc>
        <w:tc>
          <w:tcPr>
            <w:tcW w:w="593" w:type="pct"/>
            <w:gridSpan w:val="2"/>
            <w:vAlign w:val="center"/>
          </w:tcPr>
          <w:p w:rsidR="00542030" w:rsidRPr="009F3961" w:rsidRDefault="009F3961" w:rsidP="007E4ABF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9F3961">
              <w:rPr>
                <w:color w:val="4F81BD" w:themeColor="accent1"/>
                <w:sz w:val="20"/>
                <w:szCs w:val="20"/>
                <w:lang w:val="en-US"/>
              </w:rPr>
              <w:t>doc,</w:t>
            </w:r>
            <w:r w:rsidR="00CB13E7">
              <w:rPr>
                <w:color w:val="4F81BD" w:themeColor="accent1"/>
                <w:sz w:val="20"/>
                <w:szCs w:val="20"/>
                <w:lang w:val="en-US"/>
              </w:rPr>
              <w:t>pdf,</w:t>
            </w:r>
            <w:r w:rsidRPr="009F3961">
              <w:rPr>
                <w:color w:val="4F81BD" w:themeColor="accent1"/>
                <w:sz w:val="20"/>
                <w:szCs w:val="20"/>
                <w:lang w:val="en-US"/>
              </w:rPr>
              <w:t xml:space="preserve"> …</w:t>
            </w:r>
          </w:p>
        </w:tc>
        <w:tc>
          <w:tcPr>
            <w:tcW w:w="1455" w:type="pct"/>
            <w:gridSpan w:val="2"/>
            <w:vAlign w:val="center"/>
          </w:tcPr>
          <w:p w:rsidR="00542030" w:rsidRPr="00CB13E7" w:rsidRDefault="009F3961" w:rsidP="00CB13E7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Slovenian environment agency</w:t>
            </w:r>
            <w:r w:rsidR="00CB13E7">
              <w:rPr>
                <w:color w:val="4F81BD" w:themeColor="accent1"/>
                <w:sz w:val="20"/>
                <w:szCs w:val="20"/>
                <w:lang w:val="en-US"/>
              </w:rPr>
              <w:t>;</w:t>
            </w:r>
          </w:p>
          <w:p w:rsidR="00CB13E7" w:rsidRPr="007E4ABF" w:rsidRDefault="00CB13E7" w:rsidP="00CB579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Ministry for Environment and Spatial Planning (2008): The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strategy of adaptation of Slovenian agriculture and forestry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to climate change</w:t>
            </w:r>
          </w:p>
        </w:tc>
      </w:tr>
      <w:tr w:rsidR="004E4B18" w:rsidTr="00542030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4B18" w:rsidRPr="007E4ABF" w:rsidRDefault="00E80339" w:rsidP="002339AD">
            <w:pPr>
              <w:jc w:val="left"/>
              <w:rPr>
                <w:sz w:val="20"/>
                <w:szCs w:val="20"/>
                <w:lang w:val="en-US"/>
              </w:rPr>
            </w:pPr>
            <w:r w:rsidRPr="00E80339">
              <w:rPr>
                <w:b/>
                <w:sz w:val="20"/>
                <w:szCs w:val="20"/>
                <w:lang w:val="en-US"/>
              </w:rPr>
              <w:t>FUTURE LAND USES-URBAN:</w:t>
            </w:r>
            <w:r w:rsidR="004E4B18">
              <w:rPr>
                <w:sz w:val="20"/>
                <w:szCs w:val="20"/>
                <w:lang w:val="en-US"/>
              </w:rPr>
              <w:t xml:space="preserve"> </w:t>
            </w:r>
            <w:r w:rsidR="002339AD">
              <w:rPr>
                <w:sz w:val="20"/>
                <w:szCs w:val="20"/>
                <w:lang w:val="en-US"/>
              </w:rPr>
              <w:t>Are there any projections on future land use scenarios for urban land use?</w:t>
            </w:r>
            <w:r w:rsidR="00BE6C6F">
              <w:rPr>
                <w:sz w:val="20"/>
                <w:szCs w:val="20"/>
                <w:lang w:val="en-US"/>
              </w:rPr>
              <w:t xml:space="preserve"> Are there any projection</w:t>
            </w:r>
            <w:r w:rsidR="002339AD">
              <w:rPr>
                <w:sz w:val="20"/>
                <w:szCs w:val="20"/>
                <w:lang w:val="en-US"/>
              </w:rPr>
              <w:t>s</w:t>
            </w:r>
            <w:r w:rsidR="00BE6C6F">
              <w:rPr>
                <w:sz w:val="20"/>
                <w:szCs w:val="20"/>
                <w:lang w:val="en-US"/>
              </w:rPr>
              <w:t xml:space="preserve"> available on future population </w:t>
            </w:r>
            <w:r w:rsidR="002339AD">
              <w:rPr>
                <w:sz w:val="20"/>
                <w:szCs w:val="20"/>
                <w:lang w:val="en-US"/>
              </w:rPr>
              <w:t xml:space="preserve">scenarios </w:t>
            </w:r>
            <w:r w:rsidR="00BE6C6F">
              <w:rPr>
                <w:sz w:val="20"/>
                <w:szCs w:val="20"/>
                <w:lang w:val="en-US"/>
              </w:rPr>
              <w:t>in the RB?</w:t>
            </w:r>
            <w:r w:rsidR="00182ECF">
              <w:rPr>
                <w:sz w:val="20"/>
                <w:szCs w:val="20"/>
                <w:lang w:val="en-US"/>
              </w:rPr>
              <w:t xml:space="preserve"> Are there any projections on the future development of the tertiary sector and its likely contribution to the GDP?</w:t>
            </w:r>
          </w:p>
        </w:tc>
      </w:tr>
      <w:tr w:rsidR="00542030" w:rsidTr="00CB579B">
        <w:trPr>
          <w:cantSplit/>
        </w:trPr>
        <w:tc>
          <w:tcPr>
            <w:tcW w:w="2035" w:type="pct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 of available data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Spatial resolution</w:t>
            </w:r>
          </w:p>
        </w:tc>
        <w:tc>
          <w:tcPr>
            <w:tcW w:w="593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 of the data</w:t>
            </w:r>
          </w:p>
        </w:tc>
        <w:tc>
          <w:tcPr>
            <w:tcW w:w="1455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Reference/source of information</w:t>
            </w:r>
          </w:p>
        </w:tc>
      </w:tr>
      <w:tr w:rsidR="00542030" w:rsidTr="00CB579B">
        <w:trPr>
          <w:cantSplit/>
          <w:trHeight w:val="704"/>
        </w:trPr>
        <w:tc>
          <w:tcPr>
            <w:tcW w:w="2035" w:type="pct"/>
            <w:vAlign w:val="center"/>
          </w:tcPr>
          <w:p w:rsidR="00C4749E" w:rsidRPr="00CB579B" w:rsidRDefault="00C4749E" w:rsidP="00542030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lastRenderedPageBreak/>
              <w:t xml:space="preserve">Areas of the </w:t>
            </w: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Potentially Significant Flood Risk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 xml:space="preserve"> APSFR  (Ongoing implementation of flood directive will influence the urban land use and population scenarious)</w:t>
            </w:r>
          </w:p>
        </w:tc>
        <w:tc>
          <w:tcPr>
            <w:tcW w:w="917" w:type="pct"/>
            <w:gridSpan w:val="2"/>
            <w:vAlign w:val="center"/>
          </w:tcPr>
          <w:p w:rsidR="00542030" w:rsidRPr="007E4ABF" w:rsidRDefault="00C4749E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Whole country (61 areas)</w:t>
            </w:r>
          </w:p>
        </w:tc>
        <w:tc>
          <w:tcPr>
            <w:tcW w:w="593" w:type="pct"/>
            <w:gridSpan w:val="2"/>
            <w:vAlign w:val="center"/>
          </w:tcPr>
          <w:p w:rsidR="00542030" w:rsidRPr="007E4ABF" w:rsidRDefault="00C4749E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Shp,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 xml:space="preserve"> a</w:t>
            </w: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tribut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>t</w:t>
            </w: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e data</w:t>
            </w:r>
          </w:p>
        </w:tc>
        <w:tc>
          <w:tcPr>
            <w:tcW w:w="1455" w:type="pct"/>
            <w:gridSpan w:val="2"/>
            <w:vAlign w:val="center"/>
          </w:tcPr>
          <w:p w:rsidR="00542030" w:rsidRPr="00B955D4" w:rsidRDefault="00C4749E" w:rsidP="00542030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B955D4">
              <w:rPr>
                <w:color w:val="4F81BD" w:themeColor="accent1"/>
                <w:sz w:val="20"/>
                <w:szCs w:val="20"/>
                <w:lang w:val="en-US"/>
              </w:rPr>
              <w:t>Decree on establishment of flood risk management plans, 2010</w:t>
            </w:r>
          </w:p>
        </w:tc>
      </w:tr>
      <w:tr w:rsidR="004E4B18" w:rsidTr="00542030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4B18" w:rsidRPr="007E4ABF" w:rsidRDefault="00E80339" w:rsidP="002339AD">
            <w:pPr>
              <w:jc w:val="left"/>
              <w:rPr>
                <w:sz w:val="20"/>
                <w:szCs w:val="20"/>
                <w:lang w:val="en-US"/>
              </w:rPr>
            </w:pPr>
            <w:r w:rsidRPr="00E80339">
              <w:rPr>
                <w:b/>
                <w:sz w:val="20"/>
                <w:szCs w:val="20"/>
                <w:lang w:val="en-US"/>
              </w:rPr>
              <w:t>FUT</w:t>
            </w:r>
            <w:r w:rsidR="00E52835">
              <w:rPr>
                <w:b/>
                <w:sz w:val="20"/>
                <w:szCs w:val="20"/>
                <w:lang w:val="en-US"/>
              </w:rPr>
              <w:t>UR</w:t>
            </w:r>
            <w:r w:rsidRPr="00E80339">
              <w:rPr>
                <w:b/>
                <w:sz w:val="20"/>
                <w:szCs w:val="20"/>
                <w:lang w:val="en-US"/>
              </w:rPr>
              <w:t>E LAND USES-FORESTRY</w:t>
            </w:r>
            <w:r w:rsidR="004E4B18">
              <w:rPr>
                <w:sz w:val="20"/>
                <w:szCs w:val="20"/>
                <w:lang w:val="en-US"/>
              </w:rPr>
              <w:t xml:space="preserve">: </w:t>
            </w:r>
            <w:r w:rsidR="002339AD">
              <w:rPr>
                <w:sz w:val="20"/>
                <w:szCs w:val="20"/>
                <w:lang w:val="en-US"/>
              </w:rPr>
              <w:t>Are there any projections on future land use scenarios for forest land use?</w:t>
            </w:r>
            <w:r w:rsidR="001056D5">
              <w:rPr>
                <w:sz w:val="20"/>
                <w:szCs w:val="20"/>
                <w:lang w:val="en-US"/>
              </w:rPr>
              <w:t xml:space="preserve"> Are there any projections on</w:t>
            </w:r>
            <w:r w:rsidR="00182ECF">
              <w:rPr>
                <w:sz w:val="20"/>
                <w:szCs w:val="20"/>
                <w:lang w:val="en-US"/>
              </w:rPr>
              <w:t xml:space="preserve"> the future contribution of the forestry sector to the basin GDP? </w:t>
            </w:r>
          </w:p>
        </w:tc>
      </w:tr>
      <w:tr w:rsidR="00542030" w:rsidTr="00CB579B">
        <w:trPr>
          <w:cantSplit/>
        </w:trPr>
        <w:tc>
          <w:tcPr>
            <w:tcW w:w="2035" w:type="pct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 of available data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Spatial resolution</w:t>
            </w:r>
          </w:p>
        </w:tc>
        <w:tc>
          <w:tcPr>
            <w:tcW w:w="593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 of the data</w:t>
            </w:r>
          </w:p>
        </w:tc>
        <w:tc>
          <w:tcPr>
            <w:tcW w:w="1455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Reference/source of information</w:t>
            </w:r>
          </w:p>
        </w:tc>
      </w:tr>
      <w:tr w:rsidR="00542030" w:rsidTr="00CB579B">
        <w:trPr>
          <w:cantSplit/>
          <w:trHeight w:val="704"/>
        </w:trPr>
        <w:tc>
          <w:tcPr>
            <w:tcW w:w="2035" w:type="pct"/>
            <w:vAlign w:val="center"/>
          </w:tcPr>
          <w:p w:rsidR="00D925C0" w:rsidRPr="007E4ABF" w:rsidRDefault="00D618D1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>A</w:t>
            </w:r>
            <w:r w:rsidR="00CB13E7">
              <w:rPr>
                <w:color w:val="4F81BD" w:themeColor="accent1"/>
                <w:sz w:val="20"/>
                <w:szCs w:val="20"/>
                <w:lang w:val="en-US"/>
              </w:rPr>
              <w:t>ssessment of vulnerability, prediction on adaptation strategy</w:t>
            </w:r>
          </w:p>
        </w:tc>
        <w:tc>
          <w:tcPr>
            <w:tcW w:w="917" w:type="pct"/>
            <w:gridSpan w:val="2"/>
            <w:vAlign w:val="center"/>
          </w:tcPr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7E4ABF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0" w:rsidRPr="007E4AB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E4ABF"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Basin</w:t>
            </w:r>
          </w:p>
          <w:p w:rsidR="00B1604C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7E4ABF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0" w:rsidRPr="007E4AB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E4ABF"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Region</w:t>
            </w:r>
            <w:r w:rsidR="00542030">
              <w:rPr>
                <w:sz w:val="20"/>
                <w:szCs w:val="20"/>
                <w:lang w:val="en-US"/>
              </w:rPr>
              <w:t>al</w:t>
            </w:r>
          </w:p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"/>
            <w:r w:rsidR="00B1604C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bookmarkEnd w:id="0"/>
            <w:r w:rsidR="00542030" w:rsidRPr="007E4ABF">
              <w:rPr>
                <w:sz w:val="20"/>
                <w:szCs w:val="20"/>
                <w:lang w:val="en-US"/>
              </w:rPr>
              <w:t>National</w:t>
            </w:r>
          </w:p>
        </w:tc>
        <w:tc>
          <w:tcPr>
            <w:tcW w:w="593" w:type="pct"/>
            <w:gridSpan w:val="2"/>
            <w:vAlign w:val="center"/>
          </w:tcPr>
          <w:p w:rsidR="00542030" w:rsidRPr="00F6063B" w:rsidRDefault="00B1604C" w:rsidP="00542030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F6063B">
              <w:rPr>
                <w:color w:val="4F81BD" w:themeColor="accent1"/>
                <w:sz w:val="20"/>
                <w:szCs w:val="20"/>
                <w:lang w:val="en-US"/>
              </w:rPr>
              <w:t>pdf</w:t>
            </w:r>
          </w:p>
        </w:tc>
        <w:tc>
          <w:tcPr>
            <w:tcW w:w="1455" w:type="pct"/>
            <w:gridSpan w:val="2"/>
            <w:vAlign w:val="center"/>
          </w:tcPr>
          <w:p w:rsidR="00CB13E7" w:rsidRPr="007E4ABF" w:rsidRDefault="00CB13E7" w:rsidP="00CB579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Ministry for Environment and Spatial Planning (2008): The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strategy of adaptation of Slovenian agriculture and forestry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to climate change.</w:t>
            </w:r>
          </w:p>
        </w:tc>
      </w:tr>
      <w:tr w:rsidR="004E4B18" w:rsidTr="00542030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4B18" w:rsidRPr="007E4ABF" w:rsidRDefault="00E80339" w:rsidP="002339AD">
            <w:pPr>
              <w:jc w:val="left"/>
              <w:rPr>
                <w:sz w:val="20"/>
                <w:szCs w:val="20"/>
                <w:lang w:val="en-US"/>
              </w:rPr>
            </w:pPr>
            <w:r w:rsidRPr="00E80339">
              <w:rPr>
                <w:b/>
                <w:sz w:val="20"/>
                <w:szCs w:val="20"/>
                <w:lang w:val="en-US"/>
              </w:rPr>
              <w:t>LAND USES-INDUSTRY</w:t>
            </w:r>
            <w:r w:rsidR="004E4B18">
              <w:rPr>
                <w:sz w:val="20"/>
                <w:szCs w:val="20"/>
                <w:lang w:val="en-US"/>
              </w:rPr>
              <w:t xml:space="preserve">: </w:t>
            </w:r>
            <w:r w:rsidR="002339AD">
              <w:rPr>
                <w:sz w:val="20"/>
                <w:szCs w:val="20"/>
                <w:lang w:val="en-US"/>
              </w:rPr>
              <w:t>Are there any projections on future land use scenarios for industrial land use?</w:t>
            </w:r>
            <w:r w:rsidR="00182ECF">
              <w:rPr>
                <w:sz w:val="20"/>
                <w:szCs w:val="20"/>
                <w:lang w:val="en-US"/>
              </w:rPr>
              <w:t xml:space="preserve"> What is expected to be the future contribution of the industrial sector to the economy of the basin?</w:t>
            </w:r>
          </w:p>
        </w:tc>
      </w:tr>
      <w:tr w:rsidR="00542030" w:rsidTr="00CB579B">
        <w:trPr>
          <w:cantSplit/>
        </w:trPr>
        <w:tc>
          <w:tcPr>
            <w:tcW w:w="2035" w:type="pct"/>
            <w:shd w:val="clear" w:color="auto" w:fill="D9D9D9" w:themeFill="background1" w:themeFillShade="D9"/>
            <w:vAlign w:val="center"/>
          </w:tcPr>
          <w:p w:rsidR="00542030" w:rsidRPr="007E4ABF" w:rsidRDefault="00833237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</w:t>
            </w:r>
            <w:r w:rsidR="00542030">
              <w:rPr>
                <w:sz w:val="20"/>
                <w:szCs w:val="20"/>
                <w:lang w:val="en-US"/>
              </w:rPr>
              <w:t>escription of available data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Spatial resolution</w:t>
            </w:r>
          </w:p>
        </w:tc>
        <w:tc>
          <w:tcPr>
            <w:tcW w:w="593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 of the data</w:t>
            </w:r>
          </w:p>
        </w:tc>
        <w:tc>
          <w:tcPr>
            <w:tcW w:w="1455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Reference/source of information</w:t>
            </w:r>
          </w:p>
        </w:tc>
      </w:tr>
      <w:tr w:rsidR="00542030" w:rsidTr="00CB579B">
        <w:trPr>
          <w:cantSplit/>
          <w:trHeight w:val="704"/>
        </w:trPr>
        <w:tc>
          <w:tcPr>
            <w:tcW w:w="2035" w:type="pct"/>
            <w:vAlign w:val="center"/>
          </w:tcPr>
          <w:p w:rsidR="00542030" w:rsidRPr="00CB579B" w:rsidRDefault="00B955D4" w:rsidP="00542030">
            <w:pPr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>
              <w:rPr>
                <w:color w:val="4F81BD" w:themeColor="accent1"/>
                <w:sz w:val="20"/>
                <w:szCs w:val="20"/>
                <w:lang w:val="en-US"/>
              </w:rPr>
              <w:t xml:space="preserve">Areas of the </w:t>
            </w: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Potentially Significant Flood Risk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 xml:space="preserve"> APSFR  (Ongoing implementation of flood directive will influence the urban land use and population scenarious)</w:t>
            </w:r>
          </w:p>
        </w:tc>
        <w:tc>
          <w:tcPr>
            <w:tcW w:w="917" w:type="pct"/>
            <w:gridSpan w:val="2"/>
            <w:vAlign w:val="center"/>
          </w:tcPr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7E4ABF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0" w:rsidRPr="007E4AB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E4ABF"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Basin</w:t>
            </w:r>
          </w:p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7E4ABF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0" w:rsidRPr="007E4AB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E4ABF"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Region</w:t>
            </w:r>
            <w:r w:rsidR="00542030">
              <w:rPr>
                <w:sz w:val="20"/>
                <w:szCs w:val="20"/>
                <w:lang w:val="en-US"/>
              </w:rPr>
              <w:t>al</w:t>
            </w:r>
          </w:p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B3F7A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National</w:t>
            </w:r>
          </w:p>
        </w:tc>
        <w:tc>
          <w:tcPr>
            <w:tcW w:w="593" w:type="pct"/>
            <w:gridSpan w:val="2"/>
            <w:vAlign w:val="center"/>
          </w:tcPr>
          <w:p w:rsidR="00542030" w:rsidRPr="007E4ABF" w:rsidRDefault="00B955D4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Shp,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 xml:space="preserve"> a</w:t>
            </w: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tribut</w:t>
            </w:r>
            <w:r>
              <w:rPr>
                <w:color w:val="4F81BD" w:themeColor="accent1"/>
                <w:sz w:val="20"/>
                <w:szCs w:val="20"/>
                <w:lang w:val="en-US"/>
              </w:rPr>
              <w:t>t</w:t>
            </w:r>
            <w:r w:rsidRPr="00C4749E">
              <w:rPr>
                <w:color w:val="4F81BD" w:themeColor="accent1"/>
                <w:sz w:val="20"/>
                <w:szCs w:val="20"/>
                <w:lang w:val="en-US"/>
              </w:rPr>
              <w:t>e data</w:t>
            </w:r>
          </w:p>
        </w:tc>
        <w:tc>
          <w:tcPr>
            <w:tcW w:w="1455" w:type="pct"/>
            <w:gridSpan w:val="2"/>
            <w:vAlign w:val="center"/>
          </w:tcPr>
          <w:p w:rsidR="00542030" w:rsidRPr="007E4ABF" w:rsidRDefault="00B955D4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B955D4">
              <w:rPr>
                <w:color w:val="4F81BD" w:themeColor="accent1"/>
                <w:sz w:val="20"/>
                <w:szCs w:val="20"/>
                <w:lang w:val="en-US"/>
              </w:rPr>
              <w:t>Decree on establishment of flood risk management plans, 2010</w:t>
            </w:r>
          </w:p>
        </w:tc>
      </w:tr>
      <w:tr w:rsidR="004E4B18" w:rsidTr="00542030">
        <w:trPr>
          <w:cantSplit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E4B18" w:rsidRPr="007E4ABF" w:rsidRDefault="00E80339" w:rsidP="004D76FC">
            <w:pPr>
              <w:jc w:val="left"/>
              <w:rPr>
                <w:sz w:val="20"/>
                <w:szCs w:val="20"/>
                <w:lang w:val="en-US"/>
              </w:rPr>
            </w:pPr>
            <w:r w:rsidRPr="00E80339">
              <w:rPr>
                <w:b/>
                <w:sz w:val="20"/>
                <w:szCs w:val="20"/>
                <w:lang w:val="en-US"/>
              </w:rPr>
              <w:t>OTHER RELEVANT FUTURE PROJECTIONS/SCENARIOS</w:t>
            </w:r>
            <w:r w:rsidR="004D76FC">
              <w:rPr>
                <w:b/>
                <w:sz w:val="20"/>
                <w:szCs w:val="20"/>
                <w:lang w:val="en-US"/>
              </w:rPr>
              <w:t xml:space="preserve"> and OTHER RELEVANT STUDIES</w:t>
            </w:r>
            <w:r w:rsidR="004E4B18">
              <w:rPr>
                <w:sz w:val="20"/>
                <w:szCs w:val="20"/>
                <w:lang w:val="en-US"/>
              </w:rPr>
              <w:t xml:space="preserve">: are there other </w:t>
            </w:r>
            <w:r w:rsidR="002339AD">
              <w:rPr>
                <w:sz w:val="20"/>
                <w:szCs w:val="20"/>
                <w:lang w:val="en-US"/>
              </w:rPr>
              <w:t xml:space="preserve">sectors not mentioned before for which future scenarios/plans/projections are available? </w:t>
            </w:r>
            <w:r w:rsidR="004D76FC">
              <w:rPr>
                <w:sz w:val="20"/>
                <w:szCs w:val="20"/>
                <w:lang w:val="en-US"/>
              </w:rPr>
              <w:t>Are there any other studies available that make projections for the whole basin?</w:t>
            </w:r>
          </w:p>
        </w:tc>
      </w:tr>
      <w:tr w:rsidR="00542030" w:rsidTr="00CB579B">
        <w:trPr>
          <w:cantSplit/>
        </w:trPr>
        <w:tc>
          <w:tcPr>
            <w:tcW w:w="2035" w:type="pct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Description of available data</w:t>
            </w:r>
          </w:p>
        </w:tc>
        <w:tc>
          <w:tcPr>
            <w:tcW w:w="917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Spatial resolution</w:t>
            </w:r>
          </w:p>
        </w:tc>
        <w:tc>
          <w:tcPr>
            <w:tcW w:w="593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Format of the data</w:t>
            </w:r>
          </w:p>
        </w:tc>
        <w:tc>
          <w:tcPr>
            <w:tcW w:w="1455" w:type="pct"/>
            <w:gridSpan w:val="2"/>
            <w:shd w:val="clear" w:color="auto" w:fill="D9D9D9" w:themeFill="background1" w:themeFillShade="D9"/>
            <w:vAlign w:val="center"/>
          </w:tcPr>
          <w:p w:rsidR="00542030" w:rsidRPr="007E4ABF" w:rsidRDefault="00542030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Reference/source of information</w:t>
            </w:r>
          </w:p>
        </w:tc>
      </w:tr>
      <w:tr w:rsidR="00542030" w:rsidTr="00CB579B">
        <w:trPr>
          <w:cantSplit/>
          <w:trHeight w:val="704"/>
        </w:trPr>
        <w:tc>
          <w:tcPr>
            <w:tcW w:w="2035" w:type="pct"/>
            <w:vAlign w:val="center"/>
          </w:tcPr>
          <w:p w:rsidR="00542030" w:rsidRPr="007E4ABF" w:rsidRDefault="00D618D1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D618D1">
              <w:rPr>
                <w:color w:val="4F81BD" w:themeColor="accent1"/>
                <w:sz w:val="20"/>
                <w:szCs w:val="20"/>
                <w:lang w:val="en-US"/>
              </w:rPr>
              <w:lastRenderedPageBreak/>
              <w:t>Recommendation on adaptation regarding natural hazards</w:t>
            </w:r>
          </w:p>
        </w:tc>
        <w:tc>
          <w:tcPr>
            <w:tcW w:w="917" w:type="pct"/>
            <w:gridSpan w:val="2"/>
            <w:vAlign w:val="center"/>
          </w:tcPr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7E4ABF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0" w:rsidRPr="007E4AB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E4ABF"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Basin</w:t>
            </w:r>
          </w:p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 w:rsidRPr="007E4ABF">
              <w:rPr>
                <w:sz w:val="20"/>
                <w:szCs w:val="20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42030" w:rsidRPr="007E4ABF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 w:rsidRPr="007E4ABF"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Region</w:t>
            </w:r>
            <w:r w:rsidR="00542030">
              <w:rPr>
                <w:sz w:val="20"/>
                <w:szCs w:val="20"/>
                <w:lang w:val="en-US"/>
              </w:rPr>
              <w:t>al</w:t>
            </w:r>
          </w:p>
          <w:p w:rsidR="00542030" w:rsidRPr="007E4ABF" w:rsidRDefault="00347277" w:rsidP="00542030">
            <w:pPr>
              <w:jc w:val="lef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B3F7A">
              <w:rPr>
                <w:sz w:val="20"/>
                <w:szCs w:val="20"/>
                <w:lang w:val="en-US"/>
              </w:rPr>
              <w:instrText xml:space="preserve"> FORMCHECKBOX </w:instrText>
            </w:r>
            <w:r>
              <w:rPr>
                <w:sz w:val="20"/>
                <w:szCs w:val="20"/>
                <w:lang w:val="en-US"/>
              </w:rPr>
            </w:r>
            <w:r>
              <w:rPr>
                <w:sz w:val="20"/>
                <w:szCs w:val="20"/>
                <w:lang w:val="en-US"/>
              </w:rPr>
              <w:fldChar w:fldCharType="separate"/>
            </w:r>
            <w:r>
              <w:rPr>
                <w:sz w:val="20"/>
                <w:szCs w:val="20"/>
                <w:lang w:val="en-US"/>
              </w:rPr>
              <w:fldChar w:fldCharType="end"/>
            </w:r>
            <w:r w:rsidR="00542030" w:rsidRPr="007E4ABF">
              <w:rPr>
                <w:sz w:val="20"/>
                <w:szCs w:val="20"/>
                <w:lang w:val="en-US"/>
              </w:rPr>
              <w:t>National</w:t>
            </w:r>
          </w:p>
        </w:tc>
        <w:tc>
          <w:tcPr>
            <w:tcW w:w="593" w:type="pct"/>
            <w:gridSpan w:val="2"/>
            <w:vAlign w:val="center"/>
          </w:tcPr>
          <w:p w:rsidR="00542030" w:rsidRPr="007E4ABF" w:rsidRDefault="00D618D1" w:rsidP="00CB579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CB579B">
              <w:rPr>
                <w:color w:val="4F81BD" w:themeColor="accent1"/>
                <w:sz w:val="20"/>
                <w:szCs w:val="20"/>
                <w:lang w:val="en-US"/>
              </w:rPr>
              <w:t>Doc, pdf</w:t>
            </w:r>
          </w:p>
        </w:tc>
        <w:tc>
          <w:tcPr>
            <w:tcW w:w="1455" w:type="pct"/>
            <w:gridSpan w:val="2"/>
            <w:vAlign w:val="center"/>
          </w:tcPr>
          <w:p w:rsidR="00CB13E7" w:rsidRPr="00CB13E7" w:rsidRDefault="00CB13E7" w:rsidP="00CB13E7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Government Office of Climate Change (2011): Draft Strategy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for the transition of Slovenia to a low carbon society by 2050.</w:t>
            </w:r>
          </w:p>
          <w:p w:rsidR="00CB13E7" w:rsidRPr="00CB13E7" w:rsidRDefault="00CB13E7" w:rsidP="00CB13E7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Resolution on the National Programme of Protection against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Natural and other Disasters for the Period 2009-2015</w:t>
            </w:r>
          </w:p>
          <w:p w:rsidR="00CB13E7" w:rsidRPr="00CB13E7" w:rsidRDefault="00CB13E7" w:rsidP="00CB13E7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(ReNPVNDN).</w:t>
            </w:r>
          </w:p>
          <w:p w:rsidR="00CB13E7" w:rsidRPr="00CB13E7" w:rsidRDefault="00CB13E7" w:rsidP="00CB13E7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Plan of Implementation of the National Programme of Protection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against Natural and other Disasters (ReNPVNDN) for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the year 2011.</w:t>
            </w:r>
          </w:p>
          <w:p w:rsidR="00CB579B" w:rsidRDefault="00CB13E7" w:rsidP="00CB13E7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Resolution on the National Security Strategy of the Republic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 xml:space="preserve">of Slovenia” (ReSNV-1). </w:t>
            </w:r>
          </w:p>
          <w:p w:rsidR="00CB13E7" w:rsidRPr="00CB13E7" w:rsidRDefault="00CB13E7" w:rsidP="00CB13E7">
            <w:pPr>
              <w:autoSpaceDE w:val="0"/>
              <w:autoSpaceDN w:val="0"/>
              <w:adjustRightInd w:val="0"/>
              <w:jc w:val="left"/>
              <w:rPr>
                <w:color w:val="4F81BD" w:themeColor="accent1"/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Official Gazette of the Republic of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Slovenia, no. 27/2010.</w:t>
            </w:r>
          </w:p>
          <w:p w:rsidR="00542030" w:rsidRPr="007E4ABF" w:rsidRDefault="00CB13E7" w:rsidP="00CB579B">
            <w:pPr>
              <w:autoSpaceDE w:val="0"/>
              <w:autoSpaceDN w:val="0"/>
              <w:adjustRightInd w:val="0"/>
              <w:jc w:val="left"/>
              <w:rPr>
                <w:sz w:val="20"/>
                <w:szCs w:val="20"/>
                <w:lang w:val="en-US"/>
              </w:rPr>
            </w:pP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Ministry for Environment and Spatial Planning (2008): The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strategy of adaptation of Slovenian agriculture and forestry</w:t>
            </w:r>
            <w:r w:rsidR="00CB579B">
              <w:rPr>
                <w:color w:val="4F81BD" w:themeColor="accent1"/>
                <w:sz w:val="20"/>
                <w:szCs w:val="20"/>
                <w:lang w:val="en-US"/>
              </w:rPr>
              <w:t xml:space="preserve"> </w:t>
            </w:r>
            <w:r w:rsidRPr="00CB13E7">
              <w:rPr>
                <w:color w:val="4F81BD" w:themeColor="accent1"/>
                <w:sz w:val="20"/>
                <w:szCs w:val="20"/>
                <w:lang w:val="en-US"/>
              </w:rPr>
              <w:t>to climate change.</w:t>
            </w:r>
            <w:bookmarkStart w:id="1" w:name="_GoBack"/>
            <w:bookmarkEnd w:id="1"/>
          </w:p>
        </w:tc>
      </w:tr>
    </w:tbl>
    <w:p w:rsidR="00E37F64" w:rsidRDefault="00E37F64" w:rsidP="00E442DC">
      <w:pPr>
        <w:rPr>
          <w:lang w:val="en-US"/>
        </w:rPr>
      </w:pPr>
    </w:p>
    <w:sectPr w:rsidR="00E37F64" w:rsidSect="007E4ABF">
      <w:footerReference w:type="default" r:id="rId11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D92" w:rsidRDefault="00B25D92" w:rsidP="004E4B18">
      <w:pPr>
        <w:spacing w:after="0" w:line="240" w:lineRule="auto"/>
      </w:pPr>
      <w:r>
        <w:separator/>
      </w:r>
    </w:p>
  </w:endnote>
  <w:endnote w:type="continuationSeparator" w:id="0">
    <w:p w:rsidR="00B25D92" w:rsidRDefault="00B25D92" w:rsidP="004E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45149"/>
      <w:docPartObj>
        <w:docPartGallery w:val="Page Numbers (Bottom of Page)"/>
        <w:docPartUnique/>
      </w:docPartObj>
    </w:sdtPr>
    <w:sdtContent>
      <w:p w:rsidR="001056D5" w:rsidRDefault="00347277">
        <w:pPr>
          <w:pStyle w:val="Piedepgina"/>
          <w:jc w:val="center"/>
        </w:pPr>
        <w:r>
          <w:fldChar w:fldCharType="begin"/>
        </w:r>
        <w:r w:rsidR="00A33B0B">
          <w:instrText xml:space="preserve"> PAGE   \* MERGEFORMAT </w:instrText>
        </w:r>
        <w:r>
          <w:fldChar w:fldCharType="separate"/>
        </w:r>
        <w:r w:rsidR="00E66AE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056D5" w:rsidRDefault="001056D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D92" w:rsidRDefault="00B25D92" w:rsidP="004E4B18">
      <w:pPr>
        <w:spacing w:after="0" w:line="240" w:lineRule="auto"/>
      </w:pPr>
      <w:r>
        <w:separator/>
      </w:r>
    </w:p>
  </w:footnote>
  <w:footnote w:type="continuationSeparator" w:id="0">
    <w:p w:rsidR="00B25D92" w:rsidRDefault="00B25D92" w:rsidP="004E4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A4D1E"/>
    <w:multiLevelType w:val="hybridMultilevel"/>
    <w:tmpl w:val="7C0A0AF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88F"/>
    <w:multiLevelType w:val="hybridMultilevel"/>
    <w:tmpl w:val="3334A1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C4745A"/>
    <w:multiLevelType w:val="hybridMultilevel"/>
    <w:tmpl w:val="7550ED1E"/>
    <w:lvl w:ilvl="0" w:tplc="513852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42DC"/>
    <w:rsid w:val="00062FC5"/>
    <w:rsid w:val="000855B5"/>
    <w:rsid w:val="000925F8"/>
    <w:rsid w:val="000D2080"/>
    <w:rsid w:val="000E6806"/>
    <w:rsid w:val="001056D5"/>
    <w:rsid w:val="00122F4A"/>
    <w:rsid w:val="00154983"/>
    <w:rsid w:val="00181094"/>
    <w:rsid w:val="00182ECF"/>
    <w:rsid w:val="002339AD"/>
    <w:rsid w:val="00297EF0"/>
    <w:rsid w:val="002A2CA9"/>
    <w:rsid w:val="002E338B"/>
    <w:rsid w:val="00347277"/>
    <w:rsid w:val="0037450E"/>
    <w:rsid w:val="003E5538"/>
    <w:rsid w:val="00426861"/>
    <w:rsid w:val="00433286"/>
    <w:rsid w:val="004919C1"/>
    <w:rsid w:val="004B3F7A"/>
    <w:rsid w:val="004D76FC"/>
    <w:rsid w:val="004E4B18"/>
    <w:rsid w:val="004E69EB"/>
    <w:rsid w:val="004F2B30"/>
    <w:rsid w:val="00501ECD"/>
    <w:rsid w:val="00522700"/>
    <w:rsid w:val="005352DD"/>
    <w:rsid w:val="005413BE"/>
    <w:rsid w:val="00542030"/>
    <w:rsid w:val="005505E6"/>
    <w:rsid w:val="00573A09"/>
    <w:rsid w:val="005A0124"/>
    <w:rsid w:val="005A3D88"/>
    <w:rsid w:val="005F62D8"/>
    <w:rsid w:val="006117E7"/>
    <w:rsid w:val="00633F96"/>
    <w:rsid w:val="0064262D"/>
    <w:rsid w:val="0066065A"/>
    <w:rsid w:val="00670341"/>
    <w:rsid w:val="006D073A"/>
    <w:rsid w:val="006F4414"/>
    <w:rsid w:val="007C2417"/>
    <w:rsid w:val="007C2AA8"/>
    <w:rsid w:val="007E4ABF"/>
    <w:rsid w:val="007E5544"/>
    <w:rsid w:val="007F4964"/>
    <w:rsid w:val="0080708C"/>
    <w:rsid w:val="00833237"/>
    <w:rsid w:val="00842087"/>
    <w:rsid w:val="008941B3"/>
    <w:rsid w:val="008B2E3D"/>
    <w:rsid w:val="008C31A8"/>
    <w:rsid w:val="008D2CDA"/>
    <w:rsid w:val="008F3308"/>
    <w:rsid w:val="00941F1C"/>
    <w:rsid w:val="009F3961"/>
    <w:rsid w:val="00A00FCB"/>
    <w:rsid w:val="00A0157A"/>
    <w:rsid w:val="00A33B0B"/>
    <w:rsid w:val="00A35739"/>
    <w:rsid w:val="00AC4738"/>
    <w:rsid w:val="00B14B73"/>
    <w:rsid w:val="00B1604C"/>
    <w:rsid w:val="00B16561"/>
    <w:rsid w:val="00B25D92"/>
    <w:rsid w:val="00B2684C"/>
    <w:rsid w:val="00B955D4"/>
    <w:rsid w:val="00B96351"/>
    <w:rsid w:val="00B968FD"/>
    <w:rsid w:val="00BB2772"/>
    <w:rsid w:val="00BD624D"/>
    <w:rsid w:val="00BE65AE"/>
    <w:rsid w:val="00BE6C6F"/>
    <w:rsid w:val="00BF3619"/>
    <w:rsid w:val="00C225C7"/>
    <w:rsid w:val="00C4749E"/>
    <w:rsid w:val="00C8227F"/>
    <w:rsid w:val="00CB09D9"/>
    <w:rsid w:val="00CB13E7"/>
    <w:rsid w:val="00CB579B"/>
    <w:rsid w:val="00CF01E0"/>
    <w:rsid w:val="00D24BDB"/>
    <w:rsid w:val="00D25855"/>
    <w:rsid w:val="00D5111D"/>
    <w:rsid w:val="00D618D1"/>
    <w:rsid w:val="00D925C0"/>
    <w:rsid w:val="00DC14D2"/>
    <w:rsid w:val="00DF417C"/>
    <w:rsid w:val="00DF5678"/>
    <w:rsid w:val="00E01401"/>
    <w:rsid w:val="00E211B1"/>
    <w:rsid w:val="00E37F64"/>
    <w:rsid w:val="00E442DC"/>
    <w:rsid w:val="00E512A2"/>
    <w:rsid w:val="00E52835"/>
    <w:rsid w:val="00E66AE2"/>
    <w:rsid w:val="00E7617D"/>
    <w:rsid w:val="00E80339"/>
    <w:rsid w:val="00ED2161"/>
    <w:rsid w:val="00ED7829"/>
    <w:rsid w:val="00F009AF"/>
    <w:rsid w:val="00F13FA6"/>
    <w:rsid w:val="00F41CD4"/>
    <w:rsid w:val="00F6063B"/>
    <w:rsid w:val="00FC0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96"/>
    <w:pPr>
      <w:jc w:val="both"/>
    </w:pPr>
    <w:rPr>
      <w:rFonts w:ascii="Candara" w:hAnsi="Candara"/>
      <w:lang w:val="en-GB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3F96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63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E442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E44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Tablaconcuadrcula">
    <w:name w:val="Table Grid"/>
    <w:basedOn w:val="Tablanormal"/>
    <w:uiPriority w:val="59"/>
    <w:rsid w:val="007E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7E4ABF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4ABF"/>
    <w:rPr>
      <w:rFonts w:ascii="Tahoma" w:hAnsi="Tahoma" w:cs="Tahoma"/>
      <w:sz w:val="16"/>
      <w:szCs w:val="16"/>
      <w:lang w:val="en-GB"/>
    </w:rPr>
  </w:style>
  <w:style w:type="paragraph" w:styleId="Prrafodelista">
    <w:name w:val="List Paragraph"/>
    <w:basedOn w:val="Normal"/>
    <w:uiPriority w:val="34"/>
    <w:qFormat/>
    <w:rsid w:val="00062FC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216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21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216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2161"/>
    <w:rPr>
      <w:rFonts w:ascii="Candara" w:hAnsi="Candara"/>
      <w:sz w:val="20"/>
      <w:szCs w:val="20"/>
      <w:lang w:val="en-GB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21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2161"/>
    <w:rPr>
      <w:rFonts w:ascii="Candara" w:hAnsi="Candara"/>
      <w:b/>
      <w:bCs/>
      <w:sz w:val="20"/>
      <w:szCs w:val="20"/>
      <w:lang w:val="en-GB"/>
    </w:rPr>
  </w:style>
  <w:style w:type="paragraph" w:styleId="Encabezado">
    <w:name w:val="header"/>
    <w:basedOn w:val="Normal"/>
    <w:link w:val="EncabezadoCar"/>
    <w:uiPriority w:val="99"/>
    <w:semiHidden/>
    <w:unhideWhenUsed/>
    <w:rsid w:val="004E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E4B18"/>
    <w:rPr>
      <w:rFonts w:ascii="Candara" w:hAnsi="Candara"/>
      <w:lang w:val="en-GB"/>
    </w:rPr>
  </w:style>
  <w:style w:type="paragraph" w:styleId="Piedepgina">
    <w:name w:val="footer"/>
    <w:basedOn w:val="Normal"/>
    <w:link w:val="PiedepginaCar"/>
    <w:uiPriority w:val="99"/>
    <w:unhideWhenUsed/>
    <w:rsid w:val="004E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B18"/>
    <w:rPr>
      <w:rFonts w:ascii="Candara" w:hAnsi="Candara"/>
      <w:lang w:val="en-GB"/>
    </w:rPr>
  </w:style>
  <w:style w:type="character" w:customStyle="1" w:styleId="shorttext">
    <w:name w:val="short_text"/>
    <w:basedOn w:val="Fuentedeprrafopredeter"/>
    <w:rsid w:val="00D25855"/>
  </w:style>
  <w:style w:type="character" w:customStyle="1" w:styleId="hps">
    <w:name w:val="hps"/>
    <w:basedOn w:val="Fuentedeprrafopredeter"/>
    <w:rsid w:val="00D258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3F96"/>
    <w:pPr>
      <w:jc w:val="both"/>
    </w:pPr>
    <w:rPr>
      <w:rFonts w:ascii="Candara" w:hAnsi="Candara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3F96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3F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E442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442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table" w:styleId="TableGrid">
    <w:name w:val="Table Grid"/>
    <w:basedOn w:val="TableNormal"/>
    <w:uiPriority w:val="59"/>
    <w:rsid w:val="007E4A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7E4AB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ABF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062F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216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D21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21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2161"/>
    <w:rPr>
      <w:rFonts w:ascii="Candara" w:hAnsi="Candar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21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2161"/>
    <w:rPr>
      <w:rFonts w:ascii="Candara" w:hAnsi="Candara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4E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E4B18"/>
    <w:rPr>
      <w:rFonts w:ascii="Candara" w:hAnsi="Candar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4E4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B18"/>
    <w:rPr>
      <w:rFonts w:ascii="Candara" w:hAnsi="Candara"/>
      <w:lang w:val="en-GB"/>
    </w:rPr>
  </w:style>
  <w:style w:type="character" w:customStyle="1" w:styleId="shorttext">
    <w:name w:val="short_text"/>
    <w:basedOn w:val="DefaultParagraphFont"/>
    <w:rsid w:val="00D25855"/>
  </w:style>
  <w:style w:type="character" w:customStyle="1" w:styleId="hps">
    <w:name w:val="hps"/>
    <w:basedOn w:val="DefaultParagraphFont"/>
    <w:rsid w:val="00D258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D5CB31D07AA4E9B4AA9194A882366" ma:contentTypeVersion="0" ma:contentTypeDescription="Create a new document." ma:contentTypeScope="" ma:versionID="396ccaae7bce8fdd051a7900f84a1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9743A0-8357-4C6B-B9F3-C3664447DE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48F85A-BBAE-4154-8387-104A9C6A9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80CF38-F364-4D66-8B9B-33E2C57CD8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594173-B9CD-44B2-9E2D-A8473E324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Ecologic Institute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elvarela</dc:creator>
  <cp:lastModifiedBy>X</cp:lastModifiedBy>
  <cp:revision>2</cp:revision>
  <dcterms:created xsi:type="dcterms:W3CDTF">2015-11-02T12:42:00Z</dcterms:created>
  <dcterms:modified xsi:type="dcterms:W3CDTF">2015-11-02T12:42:00Z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0x010100B9BD5CB31D07AA4E9B4AA9194A882366</vt:lpwstr>
  </property>
</Properties>
</file>